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ABB78" w14:textId="2A33E7F7" w:rsidR="00263EE0" w:rsidRDefault="002D1DA1" w:rsidP="00471F7C">
      <w:pPr>
        <w:jc w:val="center"/>
        <w:rPr>
          <w:b/>
          <w:sz w:val="32"/>
          <w:szCs w:val="32"/>
          <w:u w:val="single"/>
        </w:rPr>
      </w:pPr>
      <w:r>
        <w:rPr>
          <w:b/>
          <w:sz w:val="32"/>
          <w:szCs w:val="32"/>
          <w:u w:val="single"/>
        </w:rPr>
        <w:t>Axos Bank</w:t>
      </w:r>
      <w:r w:rsidRPr="002D1DA1">
        <w:rPr>
          <w:b/>
          <w:sz w:val="32"/>
          <w:szCs w:val="32"/>
          <w:u w:val="single"/>
          <w:vertAlign w:val="superscript"/>
        </w:rPr>
        <w:t>TM</w:t>
      </w:r>
      <w:r w:rsidR="00263EE0" w:rsidRPr="00263EE0">
        <w:rPr>
          <w:b/>
          <w:sz w:val="32"/>
          <w:szCs w:val="32"/>
          <w:u w:val="single"/>
        </w:rPr>
        <w:t xml:space="preserve"> </w:t>
      </w:r>
      <w:r w:rsidR="00397844">
        <w:rPr>
          <w:b/>
          <w:sz w:val="32"/>
          <w:szCs w:val="32"/>
          <w:u w:val="single"/>
        </w:rPr>
        <w:t xml:space="preserve">Portfolio </w:t>
      </w:r>
      <w:r w:rsidR="00263EE0" w:rsidRPr="00263EE0">
        <w:rPr>
          <w:b/>
          <w:sz w:val="32"/>
          <w:szCs w:val="32"/>
          <w:u w:val="single"/>
        </w:rPr>
        <w:t>Wholesale Guidelines</w:t>
      </w:r>
    </w:p>
    <w:p w14:paraId="5F86B8E4" w14:textId="77777777" w:rsidR="00263EE0" w:rsidRPr="00263EE0" w:rsidRDefault="00263EE0" w:rsidP="00471F7C">
      <w:pPr>
        <w:jc w:val="center"/>
        <w:rPr>
          <w:b/>
          <w:sz w:val="32"/>
          <w:szCs w:val="32"/>
          <w:u w:val="single"/>
        </w:rPr>
      </w:pPr>
    </w:p>
    <w:p w14:paraId="4E6FFBE9" w14:textId="77777777" w:rsidR="00BC0777" w:rsidRDefault="00724C7F" w:rsidP="00471F7C">
      <w:pPr>
        <w:rPr>
          <w:sz w:val="21"/>
          <w:szCs w:val="21"/>
        </w:rPr>
      </w:pPr>
      <w:r w:rsidRPr="00724C7F">
        <w:rPr>
          <w:b/>
          <w:sz w:val="21"/>
          <w:szCs w:val="21"/>
        </w:rPr>
        <w:t>Contents:</w:t>
      </w:r>
      <w:r>
        <w:rPr>
          <w:sz w:val="21"/>
          <w:szCs w:val="21"/>
        </w:rPr>
        <w:t xml:space="preserve"> Ctrl click heading below to be directed to appropriate section</w:t>
      </w:r>
    </w:p>
    <w:p w14:paraId="392007DD" w14:textId="77777777" w:rsidR="00724C7F" w:rsidRDefault="00724C7F" w:rsidP="00471F7C">
      <w:pPr>
        <w:rPr>
          <w:sz w:val="21"/>
          <w:szCs w:val="21"/>
        </w:rPr>
      </w:pPr>
    </w:p>
    <w:p w14:paraId="1CDA8A8B" w14:textId="77777777" w:rsidR="00EC0B05" w:rsidRDefault="00EC0B05" w:rsidP="00471F7C">
      <w:pPr>
        <w:rPr>
          <w:sz w:val="20"/>
          <w:szCs w:val="20"/>
        </w:rPr>
        <w:sectPr w:rsidR="00EC0B05" w:rsidSect="00CC04EC">
          <w:headerReference w:type="default" r:id="rId8"/>
          <w:footerReference w:type="default" r:id="rId9"/>
          <w:pgSz w:w="12240" w:h="15840" w:code="1"/>
          <w:pgMar w:top="1440" w:right="1440" w:bottom="1440" w:left="1440" w:header="720" w:footer="720" w:gutter="0"/>
          <w:cols w:space="720"/>
          <w:docGrid w:linePitch="360"/>
        </w:sectPr>
      </w:pPr>
    </w:p>
    <w:p w14:paraId="0701C77F" w14:textId="54A71CF4" w:rsidR="00F45BEE" w:rsidRDefault="005036E4" w:rsidP="00471F7C">
      <w:pPr>
        <w:ind w:left="450"/>
        <w:rPr>
          <w:rStyle w:val="Hyperlink"/>
          <w:sz w:val="20"/>
          <w:szCs w:val="20"/>
        </w:rPr>
      </w:pPr>
      <w:hyperlink w:anchor="ten31_exchange" w:history="1">
        <w:r w:rsidR="00EC0B05" w:rsidRPr="00AD786B">
          <w:rPr>
            <w:rStyle w:val="Hyperlink"/>
            <w:sz w:val="20"/>
            <w:szCs w:val="20"/>
          </w:rPr>
          <w:t>1031 Exchange</w:t>
        </w:r>
      </w:hyperlink>
      <w:r w:rsidR="00EC0B05" w:rsidRPr="00EC0B05">
        <w:rPr>
          <w:sz w:val="20"/>
          <w:szCs w:val="20"/>
        </w:rPr>
        <w:cr/>
      </w:r>
      <w:hyperlink w:anchor="adverse_credit" w:history="1">
        <w:r w:rsidR="00EC0B05" w:rsidRPr="00AD786B">
          <w:rPr>
            <w:rStyle w:val="Hyperlink"/>
            <w:sz w:val="20"/>
            <w:szCs w:val="20"/>
          </w:rPr>
          <w:t>Adverse Credit</w:t>
        </w:r>
      </w:hyperlink>
      <w:r w:rsidR="00EC0B05" w:rsidRPr="00EC0B05">
        <w:rPr>
          <w:sz w:val="20"/>
          <w:szCs w:val="20"/>
        </w:rPr>
        <w:cr/>
      </w:r>
      <w:hyperlink w:anchor="agri_prop" w:history="1">
        <w:r w:rsidR="00EC0B05" w:rsidRPr="00AD786B">
          <w:rPr>
            <w:rStyle w:val="Hyperlink"/>
            <w:sz w:val="20"/>
            <w:szCs w:val="20"/>
          </w:rPr>
          <w:t>Agricultural Properties</w:t>
        </w:r>
      </w:hyperlink>
      <w:r w:rsidR="00EC0B05" w:rsidRPr="00EC0B05">
        <w:rPr>
          <w:sz w:val="20"/>
          <w:szCs w:val="20"/>
        </w:rPr>
        <w:cr/>
      </w:r>
      <w:hyperlink w:anchor="alimony_child" w:history="1">
        <w:r w:rsidR="00EC0B05" w:rsidRPr="00AD786B">
          <w:rPr>
            <w:rStyle w:val="Hyperlink"/>
            <w:sz w:val="20"/>
            <w:szCs w:val="20"/>
          </w:rPr>
          <w:t>Alimony/Child Support Income</w:t>
        </w:r>
      </w:hyperlink>
      <w:r w:rsidR="00EC0B05" w:rsidRPr="00EC0B05">
        <w:rPr>
          <w:sz w:val="20"/>
          <w:szCs w:val="20"/>
        </w:rPr>
        <w:cr/>
      </w:r>
      <w:hyperlink w:anchor="alimony_child_debt" w:history="1">
        <w:r w:rsidR="00EC0B05" w:rsidRPr="00AD786B">
          <w:rPr>
            <w:rStyle w:val="Hyperlink"/>
            <w:sz w:val="20"/>
            <w:szCs w:val="20"/>
          </w:rPr>
          <w:t>Alimony/Child Support Debt</w:t>
        </w:r>
      </w:hyperlink>
      <w:r w:rsidR="00EC0B05" w:rsidRPr="00EC0B05">
        <w:rPr>
          <w:sz w:val="20"/>
          <w:szCs w:val="20"/>
        </w:rPr>
        <w:cr/>
      </w:r>
      <w:hyperlink w:anchor="appraisal_age" w:history="1">
        <w:r w:rsidR="00270CC2">
          <w:rPr>
            <w:rStyle w:val="Hyperlink"/>
            <w:sz w:val="20"/>
            <w:szCs w:val="20"/>
          </w:rPr>
          <w:t>Appraisals</w:t>
        </w:r>
      </w:hyperlink>
      <w:r w:rsidR="00EC0B05" w:rsidRPr="00EC0B05">
        <w:rPr>
          <w:sz w:val="20"/>
          <w:szCs w:val="20"/>
        </w:rPr>
        <w:cr/>
      </w:r>
      <w:hyperlink w:anchor="asset_depletion" w:history="1">
        <w:r w:rsidR="00EC0B05" w:rsidRPr="00AD786B">
          <w:rPr>
            <w:rStyle w:val="Hyperlink"/>
            <w:sz w:val="20"/>
            <w:szCs w:val="20"/>
          </w:rPr>
          <w:t>Asset Depletion</w:t>
        </w:r>
      </w:hyperlink>
      <w:r w:rsidR="00EC0B05" w:rsidRPr="00EC0B05">
        <w:rPr>
          <w:sz w:val="20"/>
          <w:szCs w:val="20"/>
        </w:rPr>
        <w:cr/>
      </w:r>
      <w:hyperlink w:anchor="auth_user_accts" w:history="1">
        <w:r w:rsidR="00EC0B05" w:rsidRPr="00AD786B">
          <w:rPr>
            <w:rStyle w:val="Hyperlink"/>
            <w:sz w:val="20"/>
            <w:szCs w:val="20"/>
          </w:rPr>
          <w:t>Authorized User Accounts</w:t>
        </w:r>
      </w:hyperlink>
      <w:r w:rsidR="00EC0B05" w:rsidRPr="00EC0B05">
        <w:rPr>
          <w:sz w:val="20"/>
          <w:szCs w:val="20"/>
        </w:rPr>
        <w:cr/>
      </w:r>
      <w:hyperlink w:anchor="auto_allowance" w:history="1">
        <w:r w:rsidR="00EC0B05" w:rsidRPr="00AD786B">
          <w:rPr>
            <w:rStyle w:val="Hyperlink"/>
            <w:sz w:val="20"/>
            <w:szCs w:val="20"/>
          </w:rPr>
          <w:t>Auto Allowance</w:t>
        </w:r>
      </w:hyperlink>
      <w:r w:rsidR="00EC0B05" w:rsidRPr="00EC0B05">
        <w:rPr>
          <w:sz w:val="20"/>
          <w:szCs w:val="20"/>
        </w:rPr>
        <w:cr/>
      </w:r>
      <w:hyperlink w:anchor="bankruptcy" w:history="1">
        <w:r w:rsidR="00EC0B05" w:rsidRPr="00AD786B">
          <w:rPr>
            <w:rStyle w:val="Hyperlink"/>
            <w:sz w:val="20"/>
            <w:szCs w:val="20"/>
          </w:rPr>
          <w:t>Bankruptcy/Foreclosure/Short Sale</w:t>
        </w:r>
      </w:hyperlink>
      <w:r w:rsidR="00EC0B05" w:rsidRPr="00EC0B05">
        <w:rPr>
          <w:sz w:val="20"/>
          <w:szCs w:val="20"/>
        </w:rPr>
        <w:cr/>
      </w:r>
      <w:hyperlink w:anchor="bdti_calc" w:history="1">
        <w:r w:rsidR="00EC0B05" w:rsidRPr="00AD786B">
          <w:rPr>
            <w:rStyle w:val="Hyperlink"/>
            <w:sz w:val="20"/>
            <w:szCs w:val="20"/>
          </w:rPr>
          <w:t>BDTI Calculation</w:t>
        </w:r>
        <w:r w:rsidR="00AD786B" w:rsidRPr="00AD786B">
          <w:rPr>
            <w:rStyle w:val="Hyperlink"/>
            <w:sz w:val="20"/>
            <w:szCs w:val="20"/>
          </w:rPr>
          <w:t>/Properties Pending Sale</w:t>
        </w:r>
      </w:hyperlink>
      <w:r w:rsidR="00EC0B05" w:rsidRPr="00EC0B05">
        <w:rPr>
          <w:sz w:val="20"/>
          <w:szCs w:val="20"/>
        </w:rPr>
        <w:cr/>
      </w:r>
      <w:hyperlink w:anchor="boarder_income" w:history="1">
        <w:r w:rsidR="00EC0B05" w:rsidRPr="00AD786B">
          <w:rPr>
            <w:rStyle w:val="Hyperlink"/>
            <w:sz w:val="20"/>
            <w:szCs w:val="20"/>
          </w:rPr>
          <w:t>Boarder Income</w:t>
        </w:r>
      </w:hyperlink>
      <w:r w:rsidR="00EC0B05" w:rsidRPr="00EC0B05">
        <w:rPr>
          <w:sz w:val="20"/>
          <w:szCs w:val="20"/>
        </w:rPr>
        <w:cr/>
      </w:r>
      <w:hyperlink w:anchor="borrower_elg" w:history="1">
        <w:r w:rsidR="00EC0B05" w:rsidRPr="00AD786B">
          <w:rPr>
            <w:rStyle w:val="Hyperlink"/>
            <w:sz w:val="20"/>
            <w:szCs w:val="20"/>
          </w:rPr>
          <w:t>Borrower Eligibility</w:t>
        </w:r>
      </w:hyperlink>
    </w:p>
    <w:p w14:paraId="6A4F142C" w14:textId="7CDDAD7C" w:rsidR="00EC0B05" w:rsidRPr="00EC0B05" w:rsidRDefault="005036E4" w:rsidP="00471F7C">
      <w:pPr>
        <w:ind w:left="450"/>
        <w:rPr>
          <w:sz w:val="20"/>
          <w:szCs w:val="20"/>
        </w:rPr>
      </w:pPr>
      <w:hyperlink w:anchor="bridge_loans" w:history="1">
        <w:r w:rsidR="00F45BEE" w:rsidRPr="005F448C">
          <w:rPr>
            <w:rStyle w:val="Hyperlink"/>
            <w:sz w:val="20"/>
            <w:szCs w:val="20"/>
          </w:rPr>
          <w:t>Bridge</w:t>
        </w:r>
        <w:r w:rsidR="002C6D41">
          <w:rPr>
            <w:rStyle w:val="Hyperlink"/>
            <w:sz w:val="20"/>
            <w:szCs w:val="20"/>
          </w:rPr>
          <w:t>-to-Sale</w:t>
        </w:r>
        <w:r w:rsidR="00F45BEE" w:rsidRPr="005F448C">
          <w:rPr>
            <w:rStyle w:val="Hyperlink"/>
            <w:sz w:val="20"/>
            <w:szCs w:val="20"/>
          </w:rPr>
          <w:t xml:space="preserve"> Loans</w:t>
        </w:r>
      </w:hyperlink>
      <w:r w:rsidR="00EC0B05" w:rsidRPr="00EC0B05">
        <w:rPr>
          <w:sz w:val="20"/>
          <w:szCs w:val="20"/>
        </w:rPr>
        <w:cr/>
      </w:r>
      <w:hyperlink w:anchor="bus_assets" w:history="1">
        <w:r w:rsidR="00EC0B05" w:rsidRPr="00AD786B">
          <w:rPr>
            <w:rStyle w:val="Hyperlink"/>
            <w:sz w:val="20"/>
            <w:szCs w:val="20"/>
          </w:rPr>
          <w:t>Business Assets</w:t>
        </w:r>
      </w:hyperlink>
      <w:r w:rsidR="00EC0B05" w:rsidRPr="00EC0B05">
        <w:rPr>
          <w:sz w:val="20"/>
          <w:szCs w:val="20"/>
        </w:rPr>
        <w:cr/>
      </w:r>
      <w:hyperlink w:anchor="bus_debt" w:history="1">
        <w:r w:rsidR="00EC0B05" w:rsidRPr="00AD786B">
          <w:rPr>
            <w:rStyle w:val="Hyperlink"/>
            <w:sz w:val="20"/>
            <w:szCs w:val="20"/>
          </w:rPr>
          <w:t>Business Debt in Borrower’s Name</w:t>
        </w:r>
      </w:hyperlink>
      <w:r w:rsidR="00EC0B05" w:rsidRPr="00EC0B05">
        <w:rPr>
          <w:sz w:val="20"/>
          <w:szCs w:val="20"/>
        </w:rPr>
        <w:cr/>
      </w:r>
      <w:hyperlink w:anchor="cap_gains" w:history="1">
        <w:r w:rsidR="00EC0B05" w:rsidRPr="00AD786B">
          <w:rPr>
            <w:rStyle w:val="Hyperlink"/>
            <w:sz w:val="20"/>
            <w:szCs w:val="20"/>
          </w:rPr>
          <w:t>Capital Gains</w:t>
        </w:r>
      </w:hyperlink>
      <w:r w:rsidR="00EC0B05" w:rsidRPr="00EC0B05">
        <w:rPr>
          <w:sz w:val="20"/>
          <w:szCs w:val="20"/>
        </w:rPr>
        <w:cr/>
      </w:r>
      <w:hyperlink w:anchor="cash_recapture" w:history="1">
        <w:r w:rsidR="00EC0B05" w:rsidRPr="00AD786B">
          <w:rPr>
            <w:rStyle w:val="Hyperlink"/>
            <w:sz w:val="20"/>
            <w:szCs w:val="20"/>
          </w:rPr>
          <w:t>Cash Recapture</w:t>
        </w:r>
      </w:hyperlink>
    </w:p>
    <w:p w14:paraId="76C5CF4C" w14:textId="77777777" w:rsidR="00EC0B05" w:rsidRDefault="005036E4" w:rsidP="00471F7C">
      <w:pPr>
        <w:ind w:left="450"/>
        <w:rPr>
          <w:sz w:val="20"/>
          <w:szCs w:val="20"/>
        </w:rPr>
      </w:pPr>
      <w:hyperlink w:anchor="CEMA" w:history="1">
        <w:r w:rsidR="00EC0B05" w:rsidRPr="00AD786B">
          <w:rPr>
            <w:rStyle w:val="Hyperlink"/>
            <w:sz w:val="20"/>
            <w:szCs w:val="20"/>
          </w:rPr>
          <w:t>CEMA</w:t>
        </w:r>
      </w:hyperlink>
      <w:r w:rsidR="00EC0B05" w:rsidRPr="00EC0B05">
        <w:rPr>
          <w:sz w:val="20"/>
          <w:szCs w:val="20"/>
        </w:rPr>
        <w:cr/>
      </w:r>
      <w:hyperlink w:anchor="commission" w:history="1">
        <w:r w:rsidR="00EC0B05" w:rsidRPr="00AD786B">
          <w:rPr>
            <w:rStyle w:val="Hyperlink"/>
            <w:sz w:val="20"/>
            <w:szCs w:val="20"/>
          </w:rPr>
          <w:t>Commission</w:t>
        </w:r>
      </w:hyperlink>
      <w:r w:rsidR="00EC0B05" w:rsidRPr="00EC0B05">
        <w:rPr>
          <w:sz w:val="20"/>
          <w:szCs w:val="20"/>
        </w:rPr>
        <w:cr/>
      </w:r>
      <w:hyperlink w:anchor="condos" w:history="1">
        <w:r w:rsidR="00EC0B05" w:rsidRPr="00AD786B">
          <w:rPr>
            <w:rStyle w:val="Hyperlink"/>
            <w:sz w:val="20"/>
            <w:szCs w:val="20"/>
          </w:rPr>
          <w:t>Condominiums</w:t>
        </w:r>
      </w:hyperlink>
      <w:r w:rsidR="00EC0B05">
        <w:rPr>
          <w:sz w:val="20"/>
          <w:szCs w:val="20"/>
        </w:rPr>
        <w:t xml:space="preserve"> </w:t>
      </w:r>
    </w:p>
    <w:p w14:paraId="1DAE855B" w14:textId="77777777" w:rsidR="00EC0B05" w:rsidRPr="00EC0B05" w:rsidRDefault="005036E4" w:rsidP="00471F7C">
      <w:pPr>
        <w:ind w:left="450"/>
        <w:rPr>
          <w:sz w:val="20"/>
          <w:szCs w:val="20"/>
        </w:rPr>
      </w:pPr>
      <w:hyperlink w:anchor="condotels" w:history="1">
        <w:r w:rsidR="00EC0B05" w:rsidRPr="00AD786B">
          <w:rPr>
            <w:rStyle w:val="Hyperlink"/>
            <w:sz w:val="20"/>
            <w:szCs w:val="20"/>
          </w:rPr>
          <w:t>Condotels</w:t>
        </w:r>
      </w:hyperlink>
    </w:p>
    <w:p w14:paraId="4B3EB984" w14:textId="77777777" w:rsidR="00EC0B05" w:rsidRPr="00EC0B05" w:rsidRDefault="005036E4" w:rsidP="00471F7C">
      <w:pPr>
        <w:ind w:left="720" w:hanging="270"/>
        <w:rPr>
          <w:sz w:val="20"/>
          <w:szCs w:val="20"/>
        </w:rPr>
      </w:pPr>
      <w:hyperlink w:anchor="consumer_credit_counsel" w:history="1">
        <w:r w:rsidR="00EC0B05" w:rsidRPr="00AD786B">
          <w:rPr>
            <w:rStyle w:val="Hyperlink"/>
            <w:sz w:val="20"/>
            <w:szCs w:val="20"/>
          </w:rPr>
          <w:t>Consumer Credit Counseling (Previous Participant)</w:t>
        </w:r>
      </w:hyperlink>
    </w:p>
    <w:p w14:paraId="405FE567" w14:textId="77777777" w:rsidR="00EC0B05" w:rsidRPr="00EC0B05" w:rsidRDefault="005036E4" w:rsidP="00471F7C">
      <w:pPr>
        <w:ind w:left="450"/>
        <w:rPr>
          <w:sz w:val="20"/>
          <w:szCs w:val="20"/>
        </w:rPr>
      </w:pPr>
      <w:hyperlink w:anchor="currency_conversion" w:history="1">
        <w:r w:rsidR="00EC0B05" w:rsidRPr="00AD786B">
          <w:rPr>
            <w:rStyle w:val="Hyperlink"/>
            <w:sz w:val="20"/>
            <w:szCs w:val="20"/>
          </w:rPr>
          <w:t>Currency Conversion</w:t>
        </w:r>
      </w:hyperlink>
      <w:r w:rsidR="00EC0B05" w:rsidRPr="00EC0B05">
        <w:rPr>
          <w:sz w:val="20"/>
          <w:szCs w:val="20"/>
        </w:rPr>
        <w:cr/>
      </w:r>
      <w:hyperlink w:anchor="coops" w:history="1">
        <w:r w:rsidR="00EC0B05" w:rsidRPr="00AD786B">
          <w:rPr>
            <w:rStyle w:val="Hyperlink"/>
            <w:sz w:val="20"/>
            <w:szCs w:val="20"/>
          </w:rPr>
          <w:t>Cooperatives</w:t>
        </w:r>
      </w:hyperlink>
    </w:p>
    <w:p w14:paraId="39F08233" w14:textId="77777777" w:rsidR="00EC0B05" w:rsidRPr="00EC0B05" w:rsidRDefault="005036E4" w:rsidP="00471F7C">
      <w:pPr>
        <w:ind w:left="450"/>
        <w:rPr>
          <w:sz w:val="20"/>
          <w:szCs w:val="20"/>
        </w:rPr>
      </w:pPr>
      <w:hyperlink w:anchor="corp" w:history="1">
        <w:r w:rsidR="00EC0B05" w:rsidRPr="00AD786B">
          <w:rPr>
            <w:rStyle w:val="Hyperlink"/>
            <w:sz w:val="20"/>
            <w:szCs w:val="20"/>
          </w:rPr>
          <w:t>Corporation Income</w:t>
        </w:r>
      </w:hyperlink>
    </w:p>
    <w:p w14:paraId="5ABFB9F0" w14:textId="77777777" w:rsidR="00026A1B" w:rsidRDefault="005036E4" w:rsidP="00471F7C">
      <w:pPr>
        <w:ind w:left="450"/>
        <w:rPr>
          <w:rStyle w:val="Hyperlink"/>
          <w:sz w:val="20"/>
          <w:szCs w:val="20"/>
        </w:rPr>
      </w:pPr>
      <w:hyperlink w:anchor="co_signed_debts" w:history="1">
        <w:r w:rsidR="00EC0B05" w:rsidRPr="00AD786B">
          <w:rPr>
            <w:rStyle w:val="Hyperlink"/>
            <w:sz w:val="20"/>
            <w:szCs w:val="20"/>
          </w:rPr>
          <w:t>Co-Signed Debts</w:t>
        </w:r>
      </w:hyperlink>
      <w:r w:rsidR="00EC0B05" w:rsidRPr="00EC0B05">
        <w:rPr>
          <w:sz w:val="20"/>
          <w:szCs w:val="20"/>
        </w:rPr>
        <w:cr/>
      </w:r>
      <w:hyperlink w:anchor="court_ordered" w:history="1">
        <w:r w:rsidR="00EC0B05" w:rsidRPr="00AD786B">
          <w:rPr>
            <w:rStyle w:val="Hyperlink"/>
            <w:sz w:val="20"/>
            <w:szCs w:val="20"/>
          </w:rPr>
          <w:t>Court Ordered Assignment of Debt</w:t>
        </w:r>
      </w:hyperlink>
      <w:r w:rsidR="00EC0B05" w:rsidRPr="00EC0B05">
        <w:rPr>
          <w:sz w:val="20"/>
          <w:szCs w:val="20"/>
        </w:rPr>
        <w:cr/>
      </w:r>
      <w:hyperlink w:anchor="credit_hist" w:history="1">
        <w:r w:rsidR="00EC0B05" w:rsidRPr="00AD786B">
          <w:rPr>
            <w:rStyle w:val="Hyperlink"/>
            <w:sz w:val="20"/>
            <w:szCs w:val="20"/>
          </w:rPr>
          <w:t>Credit History</w:t>
        </w:r>
      </w:hyperlink>
      <w:r w:rsidR="00EC0B05" w:rsidRPr="00EC0B05">
        <w:rPr>
          <w:sz w:val="20"/>
          <w:szCs w:val="20"/>
        </w:rPr>
        <w:cr/>
      </w:r>
      <w:hyperlink w:anchor="credit_scores" w:history="1">
        <w:r w:rsidR="00EC0B05" w:rsidRPr="00AD786B">
          <w:rPr>
            <w:rStyle w:val="Hyperlink"/>
            <w:sz w:val="20"/>
            <w:szCs w:val="20"/>
          </w:rPr>
          <w:t>Credit Scores</w:t>
        </w:r>
      </w:hyperlink>
      <w:r w:rsidR="00EC0B05" w:rsidRPr="00EC0B05">
        <w:rPr>
          <w:sz w:val="20"/>
          <w:szCs w:val="20"/>
        </w:rPr>
        <w:cr/>
      </w:r>
      <w:hyperlink w:anchor="cross_collat" w:history="1">
        <w:r w:rsidR="00EC0B05" w:rsidRPr="00AD786B">
          <w:rPr>
            <w:rStyle w:val="Hyperlink"/>
            <w:sz w:val="20"/>
            <w:szCs w:val="20"/>
          </w:rPr>
          <w:t>Cross Collateral</w:t>
        </w:r>
      </w:hyperlink>
      <w:r w:rsidR="00EC0B05" w:rsidRPr="00EC0B05">
        <w:rPr>
          <w:sz w:val="20"/>
          <w:szCs w:val="20"/>
        </w:rPr>
        <w:cr/>
      </w:r>
      <w:hyperlink w:anchor="defreered_debtinstall" w:history="1">
        <w:r w:rsidR="00EC0B05" w:rsidRPr="00AD786B">
          <w:rPr>
            <w:rStyle w:val="Hyperlink"/>
            <w:sz w:val="20"/>
            <w:szCs w:val="20"/>
          </w:rPr>
          <w:t>Deferred Installment Debt</w:t>
        </w:r>
      </w:hyperlink>
      <w:r w:rsidR="00EC0B05" w:rsidRPr="00EC0B05">
        <w:rPr>
          <w:sz w:val="20"/>
          <w:szCs w:val="20"/>
        </w:rPr>
        <w:cr/>
      </w:r>
      <w:hyperlink w:anchor="deposit_accts" w:history="1">
        <w:r w:rsidR="00EC0B05" w:rsidRPr="00CB48F1">
          <w:rPr>
            <w:rStyle w:val="Hyperlink"/>
            <w:sz w:val="20"/>
            <w:szCs w:val="20"/>
          </w:rPr>
          <w:t>Depository Accounts</w:t>
        </w:r>
      </w:hyperlink>
      <w:r w:rsidR="00EC0B05" w:rsidRPr="00EC0B05">
        <w:rPr>
          <w:b/>
          <w:sz w:val="20"/>
          <w:szCs w:val="20"/>
        </w:rPr>
        <w:cr/>
      </w:r>
      <w:hyperlink w:anchor="div_int" w:history="1">
        <w:r w:rsidR="00EC0B05" w:rsidRPr="00CB48F1">
          <w:rPr>
            <w:rStyle w:val="Hyperlink"/>
            <w:sz w:val="20"/>
            <w:szCs w:val="20"/>
          </w:rPr>
          <w:t>Dividend/Interest</w:t>
        </w:r>
      </w:hyperlink>
      <w:r w:rsidR="00EC0B05" w:rsidRPr="00EC0B05">
        <w:rPr>
          <w:sz w:val="20"/>
          <w:szCs w:val="20"/>
        </w:rPr>
        <w:cr/>
      </w:r>
      <w:hyperlink w:anchor="earnest_money_dep" w:history="1">
        <w:r w:rsidR="00EC0B05" w:rsidRPr="00CB48F1">
          <w:rPr>
            <w:rStyle w:val="Hyperlink"/>
            <w:sz w:val="20"/>
            <w:szCs w:val="20"/>
          </w:rPr>
          <w:t>Earnest Money Deposit</w:t>
        </w:r>
      </w:hyperlink>
      <w:r w:rsidR="00EC0B05" w:rsidRPr="00EC0B05">
        <w:rPr>
          <w:sz w:val="20"/>
          <w:szCs w:val="20"/>
        </w:rPr>
        <w:cr/>
      </w:r>
      <w:hyperlink w:anchor="emp_bus_expenses" w:history="1">
        <w:r w:rsidR="00EC0B05" w:rsidRPr="00CB48F1">
          <w:rPr>
            <w:rStyle w:val="Hyperlink"/>
            <w:sz w:val="20"/>
            <w:szCs w:val="20"/>
          </w:rPr>
          <w:t>Employee Business Expenses</w:t>
        </w:r>
      </w:hyperlink>
      <w:r w:rsidR="00EC0B05" w:rsidRPr="00EC0B05">
        <w:rPr>
          <w:sz w:val="20"/>
          <w:szCs w:val="20"/>
        </w:rPr>
        <w:cr/>
      </w:r>
      <w:hyperlink w:anchor="emp_contract_off" w:history="1">
        <w:r w:rsidR="00EC0B05" w:rsidRPr="00CB48F1">
          <w:rPr>
            <w:rStyle w:val="Hyperlink"/>
            <w:sz w:val="20"/>
            <w:szCs w:val="20"/>
          </w:rPr>
          <w:t>Employment Offers or Contracts</w:t>
        </w:r>
      </w:hyperlink>
      <w:r w:rsidR="00EC0B05" w:rsidRPr="00EC0B05">
        <w:rPr>
          <w:sz w:val="20"/>
          <w:szCs w:val="20"/>
        </w:rPr>
        <w:cr/>
      </w:r>
      <w:hyperlink w:anchor="fixed_inc" w:history="1">
        <w:r w:rsidR="00EC0B05" w:rsidRPr="00CB48F1">
          <w:rPr>
            <w:rStyle w:val="Hyperlink"/>
            <w:sz w:val="20"/>
            <w:szCs w:val="20"/>
          </w:rPr>
          <w:t>Fixed Income</w:t>
        </w:r>
      </w:hyperlink>
      <w:r w:rsidR="00EC0B05" w:rsidRPr="00EC0B05">
        <w:rPr>
          <w:sz w:val="20"/>
          <w:szCs w:val="20"/>
        </w:rPr>
        <w:cr/>
      </w:r>
      <w:hyperlink w:anchor="Flood_Insurance" w:history="1">
        <w:r w:rsidR="00EC0B05" w:rsidRPr="00CB48F1">
          <w:rPr>
            <w:rStyle w:val="Hyperlink"/>
            <w:sz w:val="20"/>
            <w:szCs w:val="20"/>
          </w:rPr>
          <w:t>Flood Insurance</w:t>
        </w:r>
      </w:hyperlink>
      <w:r w:rsidR="00EC0B05" w:rsidRPr="00EC0B05">
        <w:rPr>
          <w:sz w:val="20"/>
          <w:szCs w:val="20"/>
        </w:rPr>
        <w:cr/>
      </w:r>
      <w:hyperlink w:anchor="foreign_credit_rpt" w:history="1">
        <w:r w:rsidR="00EC0B05" w:rsidRPr="00CB48F1">
          <w:rPr>
            <w:rStyle w:val="Hyperlink"/>
            <w:sz w:val="20"/>
            <w:szCs w:val="20"/>
          </w:rPr>
          <w:t>Foreign Credit Reports and Credit Scores</w:t>
        </w:r>
      </w:hyperlink>
      <w:r w:rsidR="00EC0B05" w:rsidRPr="00EC0B05">
        <w:rPr>
          <w:sz w:val="20"/>
          <w:szCs w:val="20"/>
        </w:rPr>
        <w:cr/>
      </w:r>
      <w:hyperlink w:anchor="foreign_inc" w:history="1">
        <w:r w:rsidR="00EC0B05" w:rsidRPr="00CB48F1">
          <w:rPr>
            <w:rStyle w:val="Hyperlink"/>
            <w:sz w:val="20"/>
            <w:szCs w:val="20"/>
          </w:rPr>
          <w:t>Foreign Income</w:t>
        </w:r>
      </w:hyperlink>
      <w:r w:rsidR="00EC0B05" w:rsidRPr="00EC0B05">
        <w:rPr>
          <w:sz w:val="20"/>
          <w:szCs w:val="20"/>
        </w:rPr>
        <w:cr/>
      </w:r>
      <w:hyperlink w:anchor="gifts" w:history="1">
        <w:r w:rsidR="00EC0B05" w:rsidRPr="00CB48F1">
          <w:rPr>
            <w:rStyle w:val="Hyperlink"/>
            <w:sz w:val="20"/>
            <w:szCs w:val="20"/>
          </w:rPr>
          <w:t>Gifts</w:t>
        </w:r>
      </w:hyperlink>
      <w:r w:rsidR="00EC0B05" w:rsidRPr="00EC0B05">
        <w:rPr>
          <w:sz w:val="20"/>
          <w:szCs w:val="20"/>
        </w:rPr>
        <w:cr/>
      </w:r>
      <w:hyperlink w:anchor="hazard_ins" w:history="1">
        <w:r w:rsidR="00EC0B05" w:rsidRPr="00CB48F1">
          <w:rPr>
            <w:rStyle w:val="Hyperlink"/>
            <w:sz w:val="20"/>
            <w:szCs w:val="20"/>
          </w:rPr>
          <w:t>Hazard Insurance</w:t>
        </w:r>
      </w:hyperlink>
      <w:r w:rsidR="00EC0B05" w:rsidRPr="00EC0B05">
        <w:rPr>
          <w:sz w:val="20"/>
          <w:szCs w:val="20"/>
        </w:rPr>
        <w:cr/>
      </w:r>
      <w:hyperlink w:anchor="HELOC_pmt" w:history="1">
        <w:r w:rsidR="00EC0B05" w:rsidRPr="00CB48F1">
          <w:rPr>
            <w:rStyle w:val="Hyperlink"/>
            <w:sz w:val="20"/>
            <w:szCs w:val="20"/>
          </w:rPr>
          <w:t>Home Equity Line of Credit Payment</w:t>
        </w:r>
      </w:hyperlink>
      <w:r w:rsidR="00EC0B05" w:rsidRPr="00EC0B05">
        <w:rPr>
          <w:sz w:val="20"/>
          <w:szCs w:val="20"/>
        </w:rPr>
        <w:cr/>
      </w:r>
      <w:hyperlink w:anchor="income_tax_pmt" w:history="1">
        <w:r w:rsidR="00EC0B05" w:rsidRPr="00CB48F1">
          <w:rPr>
            <w:rStyle w:val="Hyperlink"/>
            <w:sz w:val="20"/>
            <w:szCs w:val="20"/>
          </w:rPr>
          <w:t>Income Tax Payment Plan</w:t>
        </w:r>
      </w:hyperlink>
      <w:r w:rsidR="00EC0B05" w:rsidRPr="00EC0B05">
        <w:rPr>
          <w:sz w:val="20"/>
          <w:szCs w:val="20"/>
        </w:rPr>
        <w:cr/>
      </w:r>
      <w:hyperlink w:anchor="inquiries" w:history="1">
        <w:r w:rsidR="00EC0B05" w:rsidRPr="00CB48F1">
          <w:rPr>
            <w:rStyle w:val="Hyperlink"/>
            <w:sz w:val="20"/>
            <w:szCs w:val="20"/>
          </w:rPr>
          <w:t>Inquiries</w:t>
        </w:r>
      </w:hyperlink>
      <w:r w:rsidR="00EC0B05" w:rsidRPr="00EC0B05">
        <w:rPr>
          <w:sz w:val="20"/>
          <w:szCs w:val="20"/>
        </w:rPr>
        <w:cr/>
      </w:r>
      <w:hyperlink w:anchor="installment_debt" w:history="1">
        <w:r w:rsidR="00EC0B05" w:rsidRPr="00CB48F1">
          <w:rPr>
            <w:rStyle w:val="Hyperlink"/>
            <w:sz w:val="20"/>
            <w:szCs w:val="20"/>
          </w:rPr>
          <w:t>Installment Debt</w:t>
        </w:r>
      </w:hyperlink>
      <w:r w:rsidR="00EC0B05" w:rsidRPr="00EC0B05">
        <w:rPr>
          <w:sz w:val="20"/>
          <w:szCs w:val="20"/>
        </w:rPr>
        <w:cr/>
      </w:r>
      <w:hyperlink w:anchor="int_only" w:history="1">
        <w:r w:rsidR="00EC0B05" w:rsidRPr="00CB48F1">
          <w:rPr>
            <w:rStyle w:val="Hyperlink"/>
            <w:sz w:val="20"/>
            <w:szCs w:val="20"/>
          </w:rPr>
          <w:t>Interest Only</w:t>
        </w:r>
      </w:hyperlink>
      <w:r w:rsidR="00EC0B05" w:rsidRPr="00EC0B05">
        <w:rPr>
          <w:sz w:val="20"/>
          <w:szCs w:val="20"/>
        </w:rPr>
        <w:cr/>
      </w:r>
      <w:hyperlink w:anchor="int_party_contr" w:history="1">
        <w:r w:rsidR="00EC0B05" w:rsidRPr="00CB48F1">
          <w:rPr>
            <w:rStyle w:val="Hyperlink"/>
            <w:sz w:val="20"/>
            <w:szCs w:val="20"/>
          </w:rPr>
          <w:t>Interested Party Contributions</w:t>
        </w:r>
      </w:hyperlink>
    </w:p>
    <w:p w14:paraId="084D1D1C" w14:textId="650C503B" w:rsidR="00EC0B05" w:rsidRDefault="005036E4" w:rsidP="00471F7C">
      <w:pPr>
        <w:ind w:left="450"/>
        <w:rPr>
          <w:sz w:val="20"/>
          <w:szCs w:val="20"/>
        </w:rPr>
      </w:pPr>
      <w:hyperlink w:anchor="IORR" w:history="1">
        <w:r w:rsidR="00026A1B" w:rsidRPr="005F448C">
          <w:rPr>
            <w:rStyle w:val="Hyperlink"/>
            <w:sz w:val="20"/>
            <w:szCs w:val="20"/>
          </w:rPr>
          <w:t>Investor Owned Residential Real Estate</w:t>
        </w:r>
      </w:hyperlink>
      <w:r w:rsidR="00EC0B05" w:rsidRPr="00EC0B05">
        <w:rPr>
          <w:sz w:val="20"/>
          <w:szCs w:val="20"/>
        </w:rPr>
        <w:cr/>
      </w:r>
      <w:hyperlink w:anchor="IRA_distr" w:history="1">
        <w:r w:rsidR="00026A1B">
          <w:rPr>
            <w:rStyle w:val="Hyperlink"/>
            <w:sz w:val="20"/>
            <w:szCs w:val="20"/>
          </w:rPr>
          <w:t>IRA and Annuity Distributions</w:t>
        </w:r>
      </w:hyperlink>
      <w:r w:rsidR="00EC0B05" w:rsidRPr="00EC0B05">
        <w:rPr>
          <w:sz w:val="20"/>
          <w:szCs w:val="20"/>
        </w:rPr>
        <w:cr/>
      </w:r>
      <w:hyperlink w:anchor="IRS_4506T" w:history="1">
        <w:r w:rsidR="00EC0B05" w:rsidRPr="00CB48F1">
          <w:rPr>
            <w:rStyle w:val="Hyperlink"/>
            <w:sz w:val="20"/>
            <w:szCs w:val="20"/>
          </w:rPr>
          <w:t>IRS 4506T</w:t>
        </w:r>
      </w:hyperlink>
      <w:r w:rsidR="00EC0B05" w:rsidRPr="00EC0B05">
        <w:rPr>
          <w:sz w:val="20"/>
          <w:szCs w:val="20"/>
        </w:rPr>
        <w:cr/>
      </w:r>
      <w:hyperlink w:anchor="leaseholds" w:history="1">
        <w:r w:rsidR="00EC0B05" w:rsidRPr="00CB48F1">
          <w:rPr>
            <w:rStyle w:val="Hyperlink"/>
            <w:sz w:val="20"/>
            <w:szCs w:val="20"/>
          </w:rPr>
          <w:t>Leaseholds</w:t>
        </w:r>
      </w:hyperlink>
      <w:r w:rsidR="00EC0B05" w:rsidRPr="00EC0B05">
        <w:rPr>
          <w:sz w:val="20"/>
          <w:szCs w:val="20"/>
        </w:rPr>
        <w:cr/>
      </w:r>
      <w:hyperlink w:anchor="lease_pmts" w:history="1">
        <w:r w:rsidR="00EC0B05" w:rsidRPr="00CB48F1">
          <w:rPr>
            <w:rStyle w:val="Hyperlink"/>
            <w:sz w:val="20"/>
            <w:szCs w:val="20"/>
          </w:rPr>
          <w:t>Lease Payments</w:t>
        </w:r>
      </w:hyperlink>
      <w:r w:rsidR="00EC0B05" w:rsidRPr="00EC0B05">
        <w:rPr>
          <w:sz w:val="20"/>
          <w:szCs w:val="20"/>
        </w:rPr>
        <w:t xml:space="preserve"> </w:t>
      </w:r>
    </w:p>
    <w:p w14:paraId="11626463" w14:textId="5B41BCD1" w:rsidR="00EC0B05" w:rsidRPr="00EC0B05" w:rsidRDefault="005036E4" w:rsidP="00471F7C">
      <w:pPr>
        <w:ind w:left="450"/>
        <w:rPr>
          <w:sz w:val="20"/>
          <w:szCs w:val="20"/>
        </w:rPr>
      </w:pPr>
      <w:hyperlink w:anchor="life_ins_cash" w:history="1">
        <w:r w:rsidR="00EC0B05" w:rsidRPr="00CB48F1">
          <w:rPr>
            <w:rStyle w:val="Hyperlink"/>
            <w:sz w:val="20"/>
            <w:szCs w:val="20"/>
          </w:rPr>
          <w:t>Life Insurance Cash Value</w:t>
        </w:r>
      </w:hyperlink>
      <w:r w:rsidR="00EC0B05" w:rsidRPr="00EC0B05">
        <w:rPr>
          <w:sz w:val="20"/>
          <w:szCs w:val="20"/>
        </w:rPr>
        <w:cr/>
      </w:r>
      <w:hyperlink w:anchor="liq_assets" w:history="1">
        <w:r w:rsidR="00EC0B05" w:rsidRPr="00CB48F1">
          <w:rPr>
            <w:rStyle w:val="Hyperlink"/>
            <w:sz w:val="20"/>
            <w:szCs w:val="20"/>
          </w:rPr>
          <w:t>Liquid Assets</w:t>
        </w:r>
      </w:hyperlink>
      <w:r w:rsidR="00EC0B05" w:rsidRPr="00EC0B05">
        <w:rPr>
          <w:sz w:val="20"/>
          <w:szCs w:val="20"/>
        </w:rPr>
        <w:cr/>
      </w:r>
      <w:hyperlink w:anchor="loans_sec_fin" w:history="1">
        <w:r w:rsidR="00EC0B05" w:rsidRPr="00CB48F1">
          <w:rPr>
            <w:rStyle w:val="Hyperlink"/>
            <w:sz w:val="20"/>
            <w:szCs w:val="20"/>
          </w:rPr>
          <w:t>Loans Secured by Financial Assets</w:t>
        </w:r>
      </w:hyperlink>
      <w:r w:rsidR="00EC0B05" w:rsidRPr="00EC0B05">
        <w:rPr>
          <w:sz w:val="20"/>
          <w:szCs w:val="20"/>
        </w:rPr>
        <w:cr/>
      </w:r>
      <w:hyperlink w:anchor="Loans_To_One_Borrower" w:history="1">
        <w:r w:rsidR="00EC0B05" w:rsidRPr="00CB48F1">
          <w:rPr>
            <w:rStyle w:val="Hyperlink"/>
            <w:sz w:val="20"/>
            <w:szCs w:val="20"/>
          </w:rPr>
          <w:t>Loans to One Borrower</w:t>
        </w:r>
      </w:hyperlink>
      <w:r w:rsidR="00EC0B05" w:rsidRPr="00EC0B05">
        <w:rPr>
          <w:sz w:val="20"/>
          <w:szCs w:val="20"/>
        </w:rPr>
        <w:cr/>
      </w:r>
      <w:hyperlink w:anchor="LTV_calc" w:history="1">
        <w:r w:rsidR="00EC0B05" w:rsidRPr="00CB48F1">
          <w:rPr>
            <w:rStyle w:val="Hyperlink"/>
            <w:sz w:val="20"/>
            <w:szCs w:val="20"/>
          </w:rPr>
          <w:t>Loan-to-Value</w:t>
        </w:r>
      </w:hyperlink>
      <w:r w:rsidR="00EC0B05" w:rsidRPr="00EC0B05">
        <w:rPr>
          <w:sz w:val="20"/>
          <w:szCs w:val="20"/>
        </w:rPr>
        <w:cr/>
      </w:r>
      <w:hyperlink w:anchor="MERS" w:history="1">
        <w:r w:rsidR="00EC0B05" w:rsidRPr="00CB48F1">
          <w:rPr>
            <w:rStyle w:val="Hyperlink"/>
            <w:sz w:val="20"/>
            <w:szCs w:val="20"/>
          </w:rPr>
          <w:t>MERS</w:t>
        </w:r>
      </w:hyperlink>
      <w:r w:rsidR="00EC0B05" w:rsidRPr="00EC0B05">
        <w:rPr>
          <w:sz w:val="20"/>
          <w:szCs w:val="20"/>
        </w:rPr>
        <w:cr/>
      </w:r>
      <w:hyperlink w:anchor="Mold_inspec_rpt" w:history="1">
        <w:r w:rsidR="00EC0B05" w:rsidRPr="00CB48F1">
          <w:rPr>
            <w:rStyle w:val="Hyperlink"/>
            <w:sz w:val="20"/>
            <w:szCs w:val="20"/>
          </w:rPr>
          <w:t>Mold Inspection Report</w:t>
        </w:r>
      </w:hyperlink>
      <w:r w:rsidR="00CB48F1">
        <w:rPr>
          <w:sz w:val="20"/>
          <w:szCs w:val="20"/>
        </w:rPr>
        <w:cr/>
      </w:r>
      <w:hyperlink w:anchor="mortgage_asump" w:history="1">
        <w:r w:rsidR="00CB48F1" w:rsidRPr="00CB48F1">
          <w:rPr>
            <w:rStyle w:val="Hyperlink"/>
            <w:sz w:val="20"/>
            <w:szCs w:val="20"/>
          </w:rPr>
          <w:t>Mortgage A</w:t>
        </w:r>
        <w:r w:rsidR="00EC0B05" w:rsidRPr="00CB48F1">
          <w:rPr>
            <w:rStyle w:val="Hyperlink"/>
            <w:sz w:val="20"/>
            <w:szCs w:val="20"/>
          </w:rPr>
          <w:t>ssumptions</w:t>
        </w:r>
      </w:hyperlink>
      <w:r w:rsidR="00EC0B05" w:rsidRPr="00EC0B05">
        <w:rPr>
          <w:sz w:val="20"/>
          <w:szCs w:val="20"/>
        </w:rPr>
        <w:cr/>
      </w:r>
      <w:hyperlink w:anchor="mort_hist" w:history="1">
        <w:r w:rsidR="00EC0B05" w:rsidRPr="00CB48F1">
          <w:rPr>
            <w:rStyle w:val="Hyperlink"/>
            <w:sz w:val="20"/>
            <w:szCs w:val="20"/>
          </w:rPr>
          <w:t>Mortgage History</w:t>
        </w:r>
      </w:hyperlink>
      <w:r w:rsidR="00CB48F1">
        <w:rPr>
          <w:sz w:val="20"/>
          <w:szCs w:val="20"/>
        </w:rPr>
        <w:cr/>
      </w:r>
      <w:hyperlink w:anchor="Mortgagee_Clause" w:history="1">
        <w:r w:rsidR="00CB48F1" w:rsidRPr="00CB48F1">
          <w:rPr>
            <w:rStyle w:val="Hyperlink"/>
            <w:sz w:val="20"/>
            <w:szCs w:val="20"/>
          </w:rPr>
          <w:t>Mortgagee Clause</w:t>
        </w:r>
      </w:hyperlink>
      <w:r w:rsidR="00CB48F1">
        <w:rPr>
          <w:sz w:val="20"/>
          <w:szCs w:val="20"/>
        </w:rPr>
        <w:cr/>
      </w:r>
      <w:hyperlink w:anchor="non_ARM" w:history="1">
        <w:r w:rsidR="00CB48F1" w:rsidRPr="00CB48F1">
          <w:rPr>
            <w:rStyle w:val="Hyperlink"/>
            <w:sz w:val="20"/>
            <w:szCs w:val="20"/>
          </w:rPr>
          <w:t>Non Arm</w:t>
        </w:r>
        <w:r w:rsidR="00EC0B05" w:rsidRPr="00CB48F1">
          <w:rPr>
            <w:rStyle w:val="Hyperlink"/>
            <w:sz w:val="20"/>
            <w:szCs w:val="20"/>
          </w:rPr>
          <w:t>’s Length</w:t>
        </w:r>
      </w:hyperlink>
      <w:r w:rsidR="00EC0B05" w:rsidRPr="00EC0B05">
        <w:rPr>
          <w:sz w:val="20"/>
          <w:szCs w:val="20"/>
        </w:rPr>
        <w:cr/>
      </w:r>
      <w:hyperlink w:anchor="non_occupant" w:history="1">
        <w:r w:rsidR="00EC0B05" w:rsidRPr="00CB48F1">
          <w:rPr>
            <w:rStyle w:val="Hyperlink"/>
            <w:sz w:val="20"/>
            <w:szCs w:val="20"/>
          </w:rPr>
          <w:t>Non Occupant Co-Borrowers</w:t>
        </w:r>
      </w:hyperlink>
      <w:r w:rsidR="00EC0B05" w:rsidRPr="00EC0B05">
        <w:rPr>
          <w:sz w:val="20"/>
          <w:szCs w:val="20"/>
        </w:rPr>
        <w:cr/>
      </w:r>
      <w:hyperlink w:anchor="non_tradtl_credit" w:history="1">
        <w:r w:rsidR="00EC0B05" w:rsidRPr="004A71A6">
          <w:rPr>
            <w:rStyle w:val="Hyperlink"/>
            <w:sz w:val="20"/>
            <w:szCs w:val="20"/>
          </w:rPr>
          <w:t>Non Traditional Credit</w:t>
        </w:r>
      </w:hyperlink>
      <w:r w:rsidR="00EC0B05" w:rsidRPr="00EC0B05">
        <w:rPr>
          <w:sz w:val="20"/>
          <w:szCs w:val="20"/>
        </w:rPr>
        <w:cr/>
      </w:r>
      <w:hyperlink w:anchor="non_deposit_assets" w:history="1">
        <w:r w:rsidR="00EC0B05" w:rsidRPr="004A71A6">
          <w:rPr>
            <w:rStyle w:val="Hyperlink"/>
            <w:sz w:val="20"/>
            <w:szCs w:val="20"/>
          </w:rPr>
          <w:t>Non-Depository Assets</w:t>
        </w:r>
      </w:hyperlink>
      <w:r w:rsidR="00EC0B05" w:rsidRPr="00EC0B05">
        <w:rPr>
          <w:sz w:val="20"/>
          <w:szCs w:val="20"/>
        </w:rPr>
        <w:cr/>
      </w:r>
      <w:hyperlink w:anchor="notes_rec" w:history="1">
        <w:r w:rsidR="00EC0B05" w:rsidRPr="004A71A6">
          <w:rPr>
            <w:rStyle w:val="Hyperlink"/>
            <w:sz w:val="20"/>
            <w:szCs w:val="20"/>
          </w:rPr>
          <w:t>Notes Receivable</w:t>
        </w:r>
      </w:hyperlink>
      <w:r w:rsidR="00EC0B05" w:rsidRPr="00EC0B05">
        <w:rPr>
          <w:sz w:val="20"/>
          <w:szCs w:val="20"/>
        </w:rPr>
        <w:cr/>
      </w:r>
      <w:hyperlink w:anchor="NRA_borrowers" w:history="1">
        <w:r w:rsidR="00EC0B05" w:rsidRPr="004A71A6">
          <w:rPr>
            <w:rStyle w:val="Hyperlink"/>
            <w:sz w:val="20"/>
            <w:szCs w:val="20"/>
          </w:rPr>
          <w:t>NRA Borrowers</w:t>
        </w:r>
      </w:hyperlink>
      <w:r w:rsidR="00EC0B05" w:rsidRPr="00EC0B05">
        <w:rPr>
          <w:sz w:val="20"/>
          <w:szCs w:val="20"/>
        </w:rPr>
        <w:cr/>
      </w:r>
      <w:hyperlink w:anchor="opt_to_purch" w:history="1">
        <w:r w:rsidR="00EC0B05" w:rsidRPr="004A71A6">
          <w:rPr>
            <w:rStyle w:val="Hyperlink"/>
            <w:sz w:val="20"/>
            <w:szCs w:val="20"/>
          </w:rPr>
          <w:t>Option to Purchase</w:t>
        </w:r>
      </w:hyperlink>
      <w:r w:rsidR="00EC0B05" w:rsidRPr="00EC0B05">
        <w:rPr>
          <w:sz w:val="20"/>
          <w:szCs w:val="20"/>
        </w:rPr>
        <w:cr/>
      </w:r>
      <w:hyperlink w:anchor="OT_bonuses" w:history="1">
        <w:r w:rsidR="00EC0B05" w:rsidRPr="004A71A6">
          <w:rPr>
            <w:rStyle w:val="Hyperlink"/>
            <w:sz w:val="20"/>
            <w:szCs w:val="20"/>
          </w:rPr>
          <w:t>Overtime &amp; Bonus</w:t>
        </w:r>
      </w:hyperlink>
      <w:r w:rsidR="00EC0B05" w:rsidRPr="00EC0B05">
        <w:rPr>
          <w:sz w:val="20"/>
          <w:szCs w:val="20"/>
        </w:rPr>
        <w:cr/>
      </w:r>
      <w:hyperlink w:anchor="PT_second_job" w:history="1">
        <w:r w:rsidR="00EC0B05" w:rsidRPr="004A71A6">
          <w:rPr>
            <w:rStyle w:val="Hyperlink"/>
            <w:sz w:val="20"/>
            <w:szCs w:val="20"/>
          </w:rPr>
          <w:t>Part Time and/or Second Job</w:t>
        </w:r>
      </w:hyperlink>
      <w:r w:rsidR="00EC0B05" w:rsidRPr="00EC0B05">
        <w:rPr>
          <w:sz w:val="20"/>
          <w:szCs w:val="20"/>
        </w:rPr>
        <w:cr/>
      </w:r>
      <w:hyperlink w:anchor="pledged_assets" w:history="1">
        <w:r w:rsidR="00EC0B05" w:rsidRPr="004A71A6">
          <w:rPr>
            <w:rStyle w:val="Hyperlink"/>
            <w:sz w:val="20"/>
            <w:szCs w:val="20"/>
          </w:rPr>
          <w:t>Pledged Assets</w:t>
        </w:r>
      </w:hyperlink>
      <w:r w:rsidR="00EC0B05" w:rsidRPr="00EC0B05">
        <w:rPr>
          <w:sz w:val="20"/>
          <w:szCs w:val="20"/>
        </w:rPr>
        <w:cr/>
      </w:r>
      <w:hyperlink w:anchor="POA" w:history="1">
        <w:r w:rsidR="00EC0B05" w:rsidRPr="004A71A6">
          <w:rPr>
            <w:rStyle w:val="Hyperlink"/>
            <w:sz w:val="20"/>
            <w:szCs w:val="20"/>
          </w:rPr>
          <w:t>Power of Attorney</w:t>
        </w:r>
      </w:hyperlink>
    </w:p>
    <w:p w14:paraId="06B1D9B3" w14:textId="77777777" w:rsidR="00EC0B05" w:rsidRPr="00EC0B05" w:rsidRDefault="005036E4" w:rsidP="00471F7C">
      <w:pPr>
        <w:ind w:left="450"/>
        <w:rPr>
          <w:sz w:val="20"/>
          <w:szCs w:val="20"/>
        </w:rPr>
      </w:pPr>
      <w:hyperlink w:anchor="prepayment_penalty" w:history="1">
        <w:r w:rsidR="00EC0B05" w:rsidRPr="004A71A6">
          <w:rPr>
            <w:rStyle w:val="Hyperlink"/>
            <w:sz w:val="20"/>
            <w:szCs w:val="20"/>
          </w:rPr>
          <w:t>Prepayment Penalty</w:t>
        </w:r>
      </w:hyperlink>
      <w:r w:rsidR="00EC0B05" w:rsidRPr="00EC0B05">
        <w:rPr>
          <w:sz w:val="20"/>
          <w:szCs w:val="20"/>
        </w:rPr>
        <w:tab/>
      </w:r>
    </w:p>
    <w:p w14:paraId="578C5E03" w14:textId="77777777" w:rsidR="007A2A6A" w:rsidRDefault="005036E4" w:rsidP="00471F7C">
      <w:pPr>
        <w:ind w:left="450"/>
        <w:rPr>
          <w:rStyle w:val="Hyperlink"/>
          <w:sz w:val="20"/>
          <w:szCs w:val="20"/>
        </w:rPr>
      </w:pPr>
      <w:hyperlink w:anchor="private_rd" w:history="1">
        <w:r w:rsidR="00EC0B05" w:rsidRPr="004A71A6">
          <w:rPr>
            <w:rStyle w:val="Hyperlink"/>
            <w:sz w:val="20"/>
            <w:szCs w:val="20"/>
          </w:rPr>
          <w:t>Private Road</w:t>
        </w:r>
      </w:hyperlink>
      <w:r w:rsidR="00EC0B05" w:rsidRPr="00EC0B05">
        <w:rPr>
          <w:sz w:val="20"/>
          <w:szCs w:val="20"/>
        </w:rPr>
        <w:cr/>
      </w:r>
      <w:hyperlink w:anchor="proceeds_pending" w:history="1">
        <w:r w:rsidR="00EC0B05" w:rsidRPr="004A71A6">
          <w:rPr>
            <w:rStyle w:val="Hyperlink"/>
            <w:sz w:val="20"/>
            <w:szCs w:val="20"/>
          </w:rPr>
          <w:t>Proceeds from Pending Sale of Real Estate</w:t>
        </w:r>
      </w:hyperlink>
      <w:r w:rsidR="00EC0B05" w:rsidRPr="00EC0B05">
        <w:rPr>
          <w:sz w:val="20"/>
          <w:szCs w:val="20"/>
        </w:rPr>
        <w:cr/>
      </w:r>
      <w:hyperlink w:anchor="Properties" w:history="1">
        <w:r w:rsidR="00EC0B05" w:rsidRPr="004A71A6">
          <w:rPr>
            <w:rStyle w:val="Hyperlink"/>
            <w:sz w:val="20"/>
            <w:szCs w:val="20"/>
          </w:rPr>
          <w:t xml:space="preserve">Properties </w:t>
        </w:r>
        <w:r w:rsidR="004A71A6">
          <w:rPr>
            <w:rStyle w:val="Hyperlink"/>
            <w:sz w:val="20"/>
            <w:szCs w:val="20"/>
          </w:rPr>
          <w:t>(</w:t>
        </w:r>
        <w:r w:rsidR="00EC0B05" w:rsidRPr="004A71A6">
          <w:rPr>
            <w:rStyle w:val="Hyperlink"/>
            <w:sz w:val="20"/>
            <w:szCs w:val="20"/>
          </w:rPr>
          <w:t>Acceptable/Unacceptable</w:t>
        </w:r>
      </w:hyperlink>
      <w:r w:rsidR="004A71A6">
        <w:rPr>
          <w:sz w:val="20"/>
          <w:szCs w:val="20"/>
        </w:rPr>
        <w:t>)</w:t>
      </w:r>
      <w:r w:rsidR="00EC0B05" w:rsidRPr="00EC0B05">
        <w:rPr>
          <w:sz w:val="20"/>
          <w:szCs w:val="20"/>
        </w:rPr>
        <w:cr/>
      </w:r>
      <w:hyperlink w:anchor="Property_flips" w:history="1">
        <w:r w:rsidR="00EC0B05" w:rsidRPr="004A71A6">
          <w:rPr>
            <w:rStyle w:val="Hyperlink"/>
            <w:sz w:val="20"/>
            <w:szCs w:val="20"/>
          </w:rPr>
          <w:t>Property Flips</w:t>
        </w:r>
      </w:hyperlink>
      <w:r w:rsidR="00EC0B05" w:rsidRPr="00EC0B05">
        <w:rPr>
          <w:sz w:val="20"/>
          <w:szCs w:val="20"/>
        </w:rPr>
        <w:cr/>
      </w:r>
      <w:hyperlink w:anchor="Property_Taxes" w:history="1">
        <w:r w:rsidR="00EC0B05" w:rsidRPr="004A71A6">
          <w:rPr>
            <w:rStyle w:val="Hyperlink"/>
            <w:sz w:val="20"/>
            <w:szCs w:val="20"/>
          </w:rPr>
          <w:t>Property Taxes</w:t>
        </w:r>
      </w:hyperlink>
    </w:p>
    <w:p w14:paraId="28224676" w14:textId="77777777" w:rsidR="00976324" w:rsidRDefault="005036E4">
      <w:pPr>
        <w:ind w:left="450"/>
        <w:rPr>
          <w:rStyle w:val="Hyperlink"/>
          <w:sz w:val="20"/>
          <w:szCs w:val="20"/>
        </w:rPr>
      </w:pPr>
      <w:hyperlink w:anchor="qualifying_rate" w:history="1">
        <w:r w:rsidR="007A2A6A" w:rsidRPr="007A2A6A">
          <w:rPr>
            <w:rStyle w:val="Hyperlink"/>
            <w:sz w:val="20"/>
            <w:szCs w:val="20"/>
          </w:rPr>
          <w:t>Qualifying Rate</w:t>
        </w:r>
      </w:hyperlink>
      <w:r w:rsidR="00EC0B05" w:rsidRPr="00EC0B05">
        <w:rPr>
          <w:sz w:val="20"/>
          <w:szCs w:val="20"/>
        </w:rPr>
        <w:cr/>
      </w:r>
      <w:hyperlink w:anchor="rate_lock_procedure" w:history="1">
        <w:r w:rsidR="00EC0B05" w:rsidRPr="004A71A6">
          <w:rPr>
            <w:rStyle w:val="Hyperlink"/>
            <w:sz w:val="20"/>
            <w:szCs w:val="20"/>
          </w:rPr>
          <w:t>Rate Lock Procedure (Online)</w:t>
        </w:r>
      </w:hyperlink>
    </w:p>
    <w:p w14:paraId="6FF95030" w14:textId="7BC26453" w:rsidR="00EC0B05" w:rsidRDefault="005036E4">
      <w:pPr>
        <w:ind w:left="450"/>
        <w:rPr>
          <w:sz w:val="20"/>
          <w:szCs w:val="20"/>
        </w:rPr>
      </w:pPr>
      <w:hyperlink w:anchor="recent_construction" w:history="1">
        <w:r w:rsidR="00976324" w:rsidRPr="00976324">
          <w:rPr>
            <w:rStyle w:val="Hyperlink"/>
            <w:sz w:val="20"/>
            <w:szCs w:val="20"/>
          </w:rPr>
          <w:t>Recent Construction</w:t>
        </w:r>
      </w:hyperlink>
      <w:r w:rsidR="00EC0B05" w:rsidRPr="00EC0B05">
        <w:rPr>
          <w:sz w:val="20"/>
          <w:szCs w:val="20"/>
        </w:rPr>
        <w:cr/>
      </w:r>
      <w:hyperlink w:anchor="Refi_rate" w:history="1">
        <w:r w:rsidR="00EC0B05" w:rsidRPr="002050F5">
          <w:rPr>
            <w:rStyle w:val="Hyperlink"/>
            <w:sz w:val="20"/>
            <w:szCs w:val="20"/>
          </w:rPr>
          <w:t>Refinance Rate and Term</w:t>
        </w:r>
      </w:hyperlink>
      <w:r w:rsidR="00EC0B05" w:rsidRPr="00EC0B05">
        <w:rPr>
          <w:sz w:val="20"/>
          <w:szCs w:val="20"/>
        </w:rPr>
        <w:cr/>
      </w:r>
      <w:hyperlink w:anchor="Refi_cashout" w:history="1">
        <w:r w:rsidR="00EC0B05" w:rsidRPr="002050F5">
          <w:rPr>
            <w:rStyle w:val="Hyperlink"/>
            <w:sz w:val="20"/>
            <w:szCs w:val="20"/>
          </w:rPr>
          <w:t>Refinance Cash-Out</w:t>
        </w:r>
      </w:hyperlink>
      <w:r w:rsidR="00EC0B05" w:rsidRPr="00EC0B05">
        <w:rPr>
          <w:sz w:val="20"/>
          <w:szCs w:val="20"/>
        </w:rPr>
        <w:cr/>
      </w:r>
      <w:hyperlink w:anchor="rental_inc" w:history="1">
        <w:r w:rsidR="00EC0B05" w:rsidRPr="002050F5">
          <w:rPr>
            <w:rStyle w:val="Hyperlink"/>
            <w:sz w:val="20"/>
            <w:szCs w:val="20"/>
          </w:rPr>
          <w:t>Rental Income</w:t>
        </w:r>
      </w:hyperlink>
      <w:r w:rsidR="00EC0B05">
        <w:rPr>
          <w:sz w:val="20"/>
          <w:szCs w:val="20"/>
        </w:rPr>
        <w:t xml:space="preserve"> </w:t>
      </w:r>
    </w:p>
    <w:p w14:paraId="687F72B0" w14:textId="5AFF7721" w:rsidR="00710E18" w:rsidRDefault="005036E4">
      <w:pPr>
        <w:ind w:left="450"/>
        <w:rPr>
          <w:sz w:val="20"/>
          <w:szCs w:val="20"/>
        </w:rPr>
      </w:pPr>
      <w:hyperlink w:anchor="rental_pmts" w:history="1">
        <w:r w:rsidR="00EC0B05" w:rsidRPr="002050F5">
          <w:rPr>
            <w:rStyle w:val="Hyperlink"/>
            <w:sz w:val="20"/>
            <w:szCs w:val="20"/>
          </w:rPr>
          <w:t>Rental Payments</w:t>
        </w:r>
      </w:hyperlink>
      <w:r w:rsidR="00EC0B05" w:rsidRPr="00EC0B05">
        <w:rPr>
          <w:sz w:val="20"/>
          <w:szCs w:val="20"/>
        </w:rPr>
        <w:cr/>
      </w:r>
      <w:hyperlink w:anchor="reserve_reqs" w:history="1">
        <w:r w:rsidR="00EC0B05" w:rsidRPr="002050F5">
          <w:rPr>
            <w:rStyle w:val="Hyperlink"/>
            <w:sz w:val="20"/>
            <w:szCs w:val="20"/>
          </w:rPr>
          <w:t>Reserve Requirements</w:t>
        </w:r>
      </w:hyperlink>
      <w:r w:rsidR="00EC0B05" w:rsidRPr="00EC0B05">
        <w:rPr>
          <w:sz w:val="20"/>
          <w:szCs w:val="20"/>
        </w:rPr>
        <w:cr/>
      </w:r>
      <w:hyperlink w:anchor="retire_accts" w:history="1">
        <w:r w:rsidR="00EC0B05" w:rsidRPr="002050F5">
          <w:rPr>
            <w:rStyle w:val="Hyperlink"/>
            <w:sz w:val="20"/>
            <w:szCs w:val="20"/>
          </w:rPr>
          <w:t>Retirement Accounts</w:t>
        </w:r>
      </w:hyperlink>
      <w:r w:rsidR="00EC0B05" w:rsidRPr="00EC0B05">
        <w:rPr>
          <w:sz w:val="20"/>
          <w:szCs w:val="20"/>
        </w:rPr>
        <w:cr/>
      </w:r>
      <w:hyperlink w:anchor="revolving_debt" w:history="1">
        <w:r w:rsidR="00EC0B05" w:rsidRPr="002050F5">
          <w:rPr>
            <w:rStyle w:val="Hyperlink"/>
            <w:sz w:val="20"/>
            <w:szCs w:val="20"/>
          </w:rPr>
          <w:t>Revolving Debt</w:t>
        </w:r>
      </w:hyperlink>
      <w:r w:rsidR="00EC0B05" w:rsidRPr="00EC0B05">
        <w:rPr>
          <w:sz w:val="20"/>
          <w:szCs w:val="20"/>
        </w:rPr>
        <w:cr/>
      </w:r>
      <w:hyperlink w:anchor="royalty_inc" w:history="1">
        <w:r w:rsidR="00EC0B05" w:rsidRPr="002050F5">
          <w:rPr>
            <w:rStyle w:val="Hyperlink"/>
            <w:sz w:val="20"/>
            <w:szCs w:val="20"/>
          </w:rPr>
          <w:t>Royalty Income</w:t>
        </w:r>
      </w:hyperlink>
      <w:r w:rsidR="00EC0B05" w:rsidRPr="00EC0B05">
        <w:rPr>
          <w:sz w:val="20"/>
          <w:szCs w:val="20"/>
        </w:rPr>
        <w:cr/>
      </w:r>
      <w:hyperlink w:anchor="rural_prop" w:history="1">
        <w:r w:rsidR="00EC0B05" w:rsidRPr="002050F5">
          <w:rPr>
            <w:rStyle w:val="Hyperlink"/>
            <w:sz w:val="20"/>
            <w:szCs w:val="20"/>
          </w:rPr>
          <w:t>Rural Properties</w:t>
        </w:r>
      </w:hyperlink>
      <w:r w:rsidR="00EC0B05" w:rsidRPr="00EC0B05">
        <w:rPr>
          <w:sz w:val="20"/>
          <w:szCs w:val="20"/>
        </w:rPr>
        <w:cr/>
      </w:r>
      <w:hyperlink w:anchor="self_emp" w:history="1">
        <w:r w:rsidR="00EC0B05" w:rsidRPr="002050F5">
          <w:rPr>
            <w:rStyle w:val="Hyperlink"/>
            <w:sz w:val="20"/>
            <w:szCs w:val="20"/>
          </w:rPr>
          <w:t>Self-employed Income Documentation</w:t>
        </w:r>
      </w:hyperlink>
      <w:r w:rsidR="00FD03E3" w:rsidRPr="00EC0B05">
        <w:rPr>
          <w:sz w:val="20"/>
          <w:szCs w:val="20"/>
        </w:rPr>
        <w:t xml:space="preserve"> </w:t>
      </w:r>
      <w:r w:rsidR="00EC0B05" w:rsidRPr="00EC0B05">
        <w:rPr>
          <w:sz w:val="20"/>
          <w:szCs w:val="20"/>
        </w:rPr>
        <w:cr/>
      </w:r>
      <w:hyperlink w:anchor="Servicing_Information" w:history="1">
        <w:r w:rsidR="00EC0B05" w:rsidRPr="002050F5">
          <w:rPr>
            <w:rStyle w:val="Hyperlink"/>
            <w:sz w:val="20"/>
            <w:szCs w:val="20"/>
          </w:rPr>
          <w:t>Servicing Information</w:t>
        </w:r>
      </w:hyperlink>
      <w:r w:rsidR="00EC0B05" w:rsidRPr="00EC0B05">
        <w:rPr>
          <w:sz w:val="20"/>
          <w:szCs w:val="20"/>
        </w:rPr>
        <w:cr/>
      </w:r>
      <w:r w:rsidR="00710E18">
        <w:rPr>
          <w:sz w:val="20"/>
          <w:szCs w:val="20"/>
        </w:rPr>
        <w:t>Solar Lease / Power Purchase Agreement</w:t>
      </w:r>
    </w:p>
    <w:p w14:paraId="3E2F01A4" w14:textId="464BE43B" w:rsidR="00727C08" w:rsidRDefault="005036E4">
      <w:pPr>
        <w:ind w:left="450"/>
        <w:rPr>
          <w:rStyle w:val="Hyperlink"/>
          <w:sz w:val="20"/>
          <w:szCs w:val="20"/>
        </w:rPr>
      </w:pPr>
      <w:hyperlink w:anchor="sq_foot" w:history="1">
        <w:r w:rsidR="00EC0B05" w:rsidRPr="002050F5">
          <w:rPr>
            <w:rStyle w:val="Hyperlink"/>
            <w:sz w:val="20"/>
            <w:szCs w:val="20"/>
          </w:rPr>
          <w:t>Square Footage</w:t>
        </w:r>
      </w:hyperlink>
      <w:r w:rsidR="00EC0B05" w:rsidRPr="00EC0B05">
        <w:rPr>
          <w:sz w:val="20"/>
          <w:szCs w:val="20"/>
        </w:rPr>
        <w:cr/>
      </w:r>
      <w:hyperlink w:anchor="sub_fin" w:history="1">
        <w:r w:rsidR="00EC0B05" w:rsidRPr="002050F5">
          <w:rPr>
            <w:rStyle w:val="Hyperlink"/>
            <w:sz w:val="20"/>
            <w:szCs w:val="20"/>
          </w:rPr>
          <w:t>Subordinate Financing</w:t>
        </w:r>
      </w:hyperlink>
    </w:p>
    <w:p w14:paraId="235CA4B1" w14:textId="77777777" w:rsidR="00F303AE" w:rsidRDefault="005036E4">
      <w:pPr>
        <w:ind w:left="450"/>
        <w:rPr>
          <w:rStyle w:val="Hyperlink"/>
          <w:sz w:val="20"/>
          <w:szCs w:val="20"/>
        </w:rPr>
      </w:pPr>
      <w:hyperlink w:anchor="student_loans" w:history="1">
        <w:r w:rsidR="00727C08" w:rsidRPr="00727C08">
          <w:rPr>
            <w:rStyle w:val="Hyperlink"/>
            <w:sz w:val="20"/>
            <w:szCs w:val="20"/>
          </w:rPr>
          <w:t>Student Loans</w:t>
        </w:r>
      </w:hyperlink>
    </w:p>
    <w:p w14:paraId="4A862910" w14:textId="01E6F000" w:rsidR="00EC0B05" w:rsidRDefault="005036E4">
      <w:pPr>
        <w:ind w:left="450"/>
        <w:rPr>
          <w:sz w:val="20"/>
          <w:szCs w:val="20"/>
        </w:rPr>
        <w:sectPr w:rsidR="00EC0B05" w:rsidSect="00CC04EC">
          <w:type w:val="continuous"/>
          <w:pgSz w:w="12240" w:h="15840" w:code="1"/>
          <w:pgMar w:top="1440" w:right="1440" w:bottom="1440" w:left="1440" w:header="720" w:footer="720" w:gutter="0"/>
          <w:cols w:num="2" w:space="720"/>
          <w:docGrid w:linePitch="360"/>
        </w:sectPr>
      </w:pPr>
      <w:hyperlink w:anchor="taxreturns_extension" w:history="1">
        <w:r w:rsidR="00F303AE" w:rsidRPr="00F303AE">
          <w:rPr>
            <w:rStyle w:val="Hyperlink"/>
            <w:sz w:val="20"/>
            <w:szCs w:val="20"/>
          </w:rPr>
          <w:t>Tax Returns on Extension</w:t>
        </w:r>
      </w:hyperlink>
      <w:r w:rsidR="00EC0B05" w:rsidRPr="00EC0B05">
        <w:rPr>
          <w:sz w:val="20"/>
          <w:szCs w:val="20"/>
        </w:rPr>
        <w:cr/>
      </w:r>
      <w:hyperlink w:anchor="tenants" w:history="1">
        <w:r w:rsidR="00EC0B05" w:rsidRPr="002050F5">
          <w:rPr>
            <w:rStyle w:val="Hyperlink"/>
            <w:sz w:val="20"/>
            <w:szCs w:val="20"/>
          </w:rPr>
          <w:t>Tenants in Common</w:t>
        </w:r>
      </w:hyperlink>
      <w:r w:rsidR="00EC0B05" w:rsidRPr="00EC0B05">
        <w:rPr>
          <w:sz w:val="20"/>
          <w:szCs w:val="20"/>
        </w:rPr>
        <w:cr/>
      </w:r>
      <w:hyperlink w:anchor="termite_rpt" w:history="1">
        <w:r w:rsidR="00EC0B05" w:rsidRPr="002050F5">
          <w:rPr>
            <w:rStyle w:val="Hyperlink"/>
            <w:sz w:val="20"/>
            <w:szCs w:val="20"/>
          </w:rPr>
          <w:t>Termite Report</w:t>
        </w:r>
      </w:hyperlink>
      <w:r w:rsidR="00EC0B05" w:rsidRPr="00EC0B05">
        <w:rPr>
          <w:sz w:val="20"/>
          <w:szCs w:val="20"/>
        </w:rPr>
        <w:cr/>
      </w:r>
      <w:hyperlink w:anchor="Third_Party_Authorization" w:history="1">
        <w:r w:rsidR="00EC0B05" w:rsidRPr="002050F5">
          <w:rPr>
            <w:rStyle w:val="Hyperlink"/>
            <w:sz w:val="20"/>
            <w:szCs w:val="20"/>
          </w:rPr>
          <w:t>Third Party Authorization</w:t>
        </w:r>
      </w:hyperlink>
      <w:r w:rsidR="00EC0B05" w:rsidRPr="00EC0B05">
        <w:rPr>
          <w:sz w:val="20"/>
          <w:szCs w:val="20"/>
        </w:rPr>
        <w:cr/>
      </w:r>
      <w:hyperlink w:anchor="Trust_Entity_Vesting" w:history="1">
        <w:r w:rsidR="00EC0B05" w:rsidRPr="002050F5">
          <w:rPr>
            <w:rStyle w:val="Hyperlink"/>
            <w:sz w:val="20"/>
            <w:szCs w:val="20"/>
          </w:rPr>
          <w:t>Trust Entity Vesting</w:t>
        </w:r>
      </w:hyperlink>
      <w:r w:rsidR="00EC0B05" w:rsidRPr="00EC0B05">
        <w:rPr>
          <w:sz w:val="20"/>
          <w:szCs w:val="20"/>
        </w:rPr>
        <w:cr/>
      </w:r>
      <w:hyperlink w:anchor="trust_accts" w:history="1">
        <w:r w:rsidR="00EC0B05" w:rsidRPr="002050F5">
          <w:rPr>
            <w:rStyle w:val="Hyperlink"/>
            <w:sz w:val="20"/>
            <w:szCs w:val="20"/>
          </w:rPr>
          <w:t>Trust Account Assets</w:t>
        </w:r>
      </w:hyperlink>
      <w:r w:rsidR="002050F5">
        <w:rPr>
          <w:sz w:val="20"/>
          <w:szCs w:val="20"/>
        </w:rPr>
        <w:cr/>
      </w:r>
      <w:hyperlink w:anchor="trust_income" w:history="1">
        <w:r w:rsidR="002050F5" w:rsidRPr="002050F5">
          <w:rPr>
            <w:rStyle w:val="Hyperlink"/>
            <w:sz w:val="20"/>
            <w:szCs w:val="20"/>
          </w:rPr>
          <w:t>Trust Income</w:t>
        </w:r>
      </w:hyperlink>
      <w:r w:rsidR="002050F5">
        <w:rPr>
          <w:sz w:val="20"/>
          <w:szCs w:val="20"/>
        </w:rPr>
        <w:cr/>
      </w:r>
      <w:hyperlink w:anchor="unacc_sources_inc" w:history="1">
        <w:r w:rsidR="002050F5" w:rsidRPr="002050F5">
          <w:rPr>
            <w:rStyle w:val="Hyperlink"/>
            <w:sz w:val="20"/>
            <w:szCs w:val="20"/>
          </w:rPr>
          <w:t>Unacceptable S</w:t>
        </w:r>
        <w:r w:rsidR="00EC0B05" w:rsidRPr="002050F5">
          <w:rPr>
            <w:rStyle w:val="Hyperlink"/>
            <w:sz w:val="20"/>
            <w:szCs w:val="20"/>
          </w:rPr>
          <w:t xml:space="preserve">ources of </w:t>
        </w:r>
        <w:r w:rsidR="002050F5" w:rsidRPr="002050F5">
          <w:rPr>
            <w:rStyle w:val="Hyperlink"/>
            <w:sz w:val="20"/>
            <w:szCs w:val="20"/>
          </w:rPr>
          <w:t>I</w:t>
        </w:r>
        <w:r w:rsidR="00EC0B05" w:rsidRPr="002050F5">
          <w:rPr>
            <w:rStyle w:val="Hyperlink"/>
            <w:sz w:val="20"/>
            <w:szCs w:val="20"/>
          </w:rPr>
          <w:t>ncome</w:t>
        </w:r>
      </w:hyperlink>
      <w:r w:rsidR="00EC0B05" w:rsidRPr="00EC0B05">
        <w:rPr>
          <w:sz w:val="20"/>
          <w:szCs w:val="20"/>
        </w:rPr>
        <w:cr/>
      </w:r>
      <w:hyperlink w:anchor="verif_docs" w:history="1">
        <w:r w:rsidR="00EC0B05" w:rsidRPr="002050F5">
          <w:rPr>
            <w:rStyle w:val="Hyperlink"/>
            <w:sz w:val="20"/>
            <w:szCs w:val="20"/>
          </w:rPr>
          <w:t>Verification Documents</w:t>
        </w:r>
      </w:hyperlink>
      <w:r w:rsidR="00EC0B05" w:rsidRPr="00EC0B05">
        <w:rPr>
          <w:sz w:val="20"/>
          <w:szCs w:val="20"/>
        </w:rPr>
        <w:cr/>
      </w:r>
      <w:hyperlink w:anchor="wage_earners" w:history="1">
        <w:r w:rsidR="00EC0B05" w:rsidRPr="002050F5">
          <w:rPr>
            <w:rStyle w:val="Hyperlink"/>
            <w:sz w:val="20"/>
            <w:szCs w:val="20"/>
          </w:rPr>
          <w:t>Wage Earners</w:t>
        </w:r>
      </w:hyperlink>
      <w:r w:rsidR="00EC0B05" w:rsidRPr="00EC0B05">
        <w:rPr>
          <w:sz w:val="20"/>
          <w:szCs w:val="20"/>
        </w:rPr>
        <w:cr/>
      </w:r>
      <w:hyperlink w:anchor="well_cert" w:history="1">
        <w:r w:rsidR="00EC0B05" w:rsidRPr="002050F5">
          <w:rPr>
            <w:rStyle w:val="Hyperlink"/>
            <w:sz w:val="20"/>
            <w:szCs w:val="20"/>
          </w:rPr>
          <w:t>Well Certification</w:t>
        </w:r>
      </w:hyperlink>
    </w:p>
    <w:p w14:paraId="17E22CBF" w14:textId="77777777" w:rsidR="00EC0B05" w:rsidRPr="00EC0B05" w:rsidRDefault="00EC0B05">
      <w:pPr>
        <w:rPr>
          <w:sz w:val="20"/>
          <w:szCs w:val="20"/>
        </w:rPr>
      </w:pPr>
    </w:p>
    <w:p w14:paraId="5ADB5E5F" w14:textId="77777777" w:rsidR="00EC0B05" w:rsidRPr="00EC0B05" w:rsidRDefault="00EC0B05">
      <w:pPr>
        <w:rPr>
          <w:b/>
          <w:sz w:val="20"/>
          <w:szCs w:val="20"/>
        </w:rPr>
      </w:pPr>
    </w:p>
    <w:p w14:paraId="2CC04B30" w14:textId="77777777" w:rsidR="00EC0B05" w:rsidRPr="00EC0B05" w:rsidRDefault="00EC0B05">
      <w:pPr>
        <w:rPr>
          <w:b/>
          <w:sz w:val="20"/>
          <w:szCs w:val="20"/>
        </w:rPr>
      </w:pPr>
    </w:p>
    <w:p w14:paraId="681140C2" w14:textId="77777777" w:rsidR="00EC0B05" w:rsidRPr="00EC0B05" w:rsidRDefault="00EC0B05">
      <w:pPr>
        <w:rPr>
          <w:b/>
          <w:sz w:val="20"/>
          <w:szCs w:val="20"/>
        </w:rPr>
      </w:pPr>
    </w:p>
    <w:p w14:paraId="78EE47E3" w14:textId="77777777" w:rsidR="00EC0B05" w:rsidRDefault="00EC0B05">
      <w:pPr>
        <w:rPr>
          <w:b/>
          <w:sz w:val="21"/>
          <w:szCs w:val="21"/>
        </w:rPr>
      </w:pPr>
    </w:p>
    <w:p w14:paraId="6848C181" w14:textId="77777777" w:rsidR="00EC0B05" w:rsidRDefault="00EC0B05">
      <w:pPr>
        <w:rPr>
          <w:b/>
          <w:sz w:val="21"/>
          <w:szCs w:val="21"/>
        </w:rPr>
      </w:pPr>
    </w:p>
    <w:p w14:paraId="4A345D63" w14:textId="77777777" w:rsidR="00EC0B05" w:rsidRDefault="00EC0B05">
      <w:pPr>
        <w:rPr>
          <w:b/>
          <w:sz w:val="21"/>
          <w:szCs w:val="21"/>
        </w:rPr>
      </w:pPr>
    </w:p>
    <w:p w14:paraId="55EF6B8A" w14:textId="77777777" w:rsidR="00EC0B05" w:rsidRDefault="00EC0B05">
      <w:pPr>
        <w:rPr>
          <w:b/>
          <w:sz w:val="21"/>
          <w:szCs w:val="21"/>
        </w:rPr>
      </w:pPr>
    </w:p>
    <w:p w14:paraId="5CFD7F66" w14:textId="77777777" w:rsidR="00EC0B05" w:rsidRDefault="00EC0B05">
      <w:pPr>
        <w:rPr>
          <w:b/>
          <w:sz w:val="21"/>
          <w:szCs w:val="21"/>
        </w:rPr>
      </w:pPr>
    </w:p>
    <w:p w14:paraId="040D45F9" w14:textId="77777777" w:rsidR="00EC0B05" w:rsidRDefault="00EC0B05">
      <w:pPr>
        <w:rPr>
          <w:b/>
          <w:sz w:val="21"/>
          <w:szCs w:val="21"/>
        </w:rPr>
      </w:pPr>
    </w:p>
    <w:p w14:paraId="0C4213BD" w14:textId="77777777" w:rsidR="00EC0B05" w:rsidRDefault="00EC0B05">
      <w:pPr>
        <w:rPr>
          <w:b/>
          <w:sz w:val="21"/>
          <w:szCs w:val="21"/>
        </w:rPr>
      </w:pPr>
    </w:p>
    <w:p w14:paraId="5DFBE890" w14:textId="77777777" w:rsidR="00EC0B05" w:rsidRDefault="00EC0B05">
      <w:pPr>
        <w:rPr>
          <w:b/>
          <w:sz w:val="21"/>
          <w:szCs w:val="21"/>
        </w:rPr>
      </w:pPr>
    </w:p>
    <w:p w14:paraId="2415D147" w14:textId="77777777" w:rsidR="00EC0B05" w:rsidRDefault="00EC0B05">
      <w:pPr>
        <w:rPr>
          <w:b/>
          <w:sz w:val="21"/>
          <w:szCs w:val="21"/>
        </w:rPr>
      </w:pPr>
    </w:p>
    <w:p w14:paraId="740A5905" w14:textId="77777777" w:rsidR="00EC0B05" w:rsidRDefault="00EC0B05">
      <w:pPr>
        <w:rPr>
          <w:b/>
          <w:sz w:val="21"/>
          <w:szCs w:val="21"/>
        </w:rPr>
      </w:pPr>
    </w:p>
    <w:p w14:paraId="4C0618EA" w14:textId="77777777" w:rsidR="00EC0B05" w:rsidRDefault="00EC0B05">
      <w:pPr>
        <w:rPr>
          <w:b/>
          <w:sz w:val="21"/>
          <w:szCs w:val="21"/>
        </w:rPr>
      </w:pPr>
    </w:p>
    <w:p w14:paraId="20F6ABD7" w14:textId="77777777" w:rsidR="000D5E73" w:rsidRDefault="000D5E73">
      <w:pPr>
        <w:rPr>
          <w:b/>
          <w:sz w:val="21"/>
          <w:szCs w:val="21"/>
        </w:rPr>
      </w:pPr>
    </w:p>
    <w:p w14:paraId="322B20FC" w14:textId="77777777" w:rsidR="000D5E73" w:rsidRDefault="000D5E73">
      <w:pPr>
        <w:rPr>
          <w:b/>
          <w:sz w:val="21"/>
          <w:szCs w:val="21"/>
        </w:rPr>
      </w:pPr>
    </w:p>
    <w:p w14:paraId="3B9D4122" w14:textId="77777777" w:rsidR="000D5E73" w:rsidRDefault="000D5E73">
      <w:pPr>
        <w:rPr>
          <w:b/>
          <w:sz w:val="21"/>
          <w:szCs w:val="21"/>
        </w:rPr>
      </w:pPr>
    </w:p>
    <w:p w14:paraId="1AD88A2C" w14:textId="77777777" w:rsidR="000D5E73" w:rsidRDefault="000D5E73">
      <w:pPr>
        <w:rPr>
          <w:b/>
          <w:sz w:val="21"/>
          <w:szCs w:val="21"/>
        </w:rPr>
      </w:pPr>
    </w:p>
    <w:p w14:paraId="00398524" w14:textId="77777777" w:rsidR="000D5E73" w:rsidRDefault="000D5E73">
      <w:pPr>
        <w:rPr>
          <w:b/>
          <w:sz w:val="21"/>
          <w:szCs w:val="21"/>
        </w:rPr>
      </w:pPr>
    </w:p>
    <w:p w14:paraId="39B570AC" w14:textId="77777777" w:rsidR="000D5E73" w:rsidRDefault="000D5E73">
      <w:pPr>
        <w:rPr>
          <w:b/>
          <w:sz w:val="21"/>
          <w:szCs w:val="21"/>
        </w:rPr>
      </w:pPr>
    </w:p>
    <w:p w14:paraId="00B051FA" w14:textId="77777777" w:rsidR="000D5E73" w:rsidRDefault="000D5E73">
      <w:pPr>
        <w:rPr>
          <w:b/>
          <w:sz w:val="21"/>
          <w:szCs w:val="21"/>
        </w:rPr>
      </w:pPr>
    </w:p>
    <w:p w14:paraId="07459D5E" w14:textId="77777777" w:rsidR="000D5E73" w:rsidRDefault="000D5E73">
      <w:pPr>
        <w:rPr>
          <w:b/>
          <w:sz w:val="21"/>
          <w:szCs w:val="21"/>
        </w:rPr>
      </w:pPr>
    </w:p>
    <w:p w14:paraId="14B2E5CF" w14:textId="77777777" w:rsidR="000D5E73" w:rsidRDefault="000D5E73">
      <w:pPr>
        <w:rPr>
          <w:b/>
          <w:sz w:val="21"/>
          <w:szCs w:val="21"/>
        </w:rPr>
      </w:pPr>
    </w:p>
    <w:p w14:paraId="2E270031" w14:textId="77777777" w:rsidR="000D5E73" w:rsidRDefault="000D5E73">
      <w:pPr>
        <w:rPr>
          <w:b/>
          <w:sz w:val="21"/>
          <w:szCs w:val="21"/>
        </w:rPr>
      </w:pPr>
    </w:p>
    <w:p w14:paraId="293F2CA9" w14:textId="77777777" w:rsidR="000D5E73" w:rsidRDefault="000D5E73">
      <w:pPr>
        <w:rPr>
          <w:b/>
          <w:sz w:val="21"/>
          <w:szCs w:val="21"/>
        </w:rPr>
      </w:pPr>
    </w:p>
    <w:p w14:paraId="77A10AD9" w14:textId="77777777" w:rsidR="000D5E73" w:rsidRDefault="000D5E73">
      <w:pPr>
        <w:rPr>
          <w:b/>
          <w:sz w:val="21"/>
          <w:szCs w:val="21"/>
        </w:rPr>
      </w:pPr>
    </w:p>
    <w:p w14:paraId="782A18E8" w14:textId="77777777" w:rsidR="000D5E73" w:rsidRDefault="000D5E73">
      <w:pPr>
        <w:rPr>
          <w:b/>
          <w:sz w:val="21"/>
          <w:szCs w:val="21"/>
        </w:rPr>
      </w:pPr>
    </w:p>
    <w:p w14:paraId="020A7E70" w14:textId="77777777" w:rsidR="000D5E73" w:rsidRDefault="000D5E73">
      <w:pPr>
        <w:rPr>
          <w:b/>
          <w:sz w:val="21"/>
          <w:szCs w:val="21"/>
        </w:rPr>
      </w:pPr>
    </w:p>
    <w:p w14:paraId="67A12F6E" w14:textId="77777777" w:rsidR="000D5E73" w:rsidRDefault="000D5E73">
      <w:pPr>
        <w:rPr>
          <w:b/>
          <w:sz w:val="21"/>
          <w:szCs w:val="21"/>
        </w:rPr>
      </w:pPr>
    </w:p>
    <w:p w14:paraId="2DA57744" w14:textId="77777777" w:rsidR="000D5E73" w:rsidRDefault="000D5E73">
      <w:pPr>
        <w:rPr>
          <w:b/>
          <w:sz w:val="21"/>
          <w:szCs w:val="21"/>
        </w:rPr>
      </w:pPr>
    </w:p>
    <w:p w14:paraId="3FDD3030" w14:textId="77777777" w:rsidR="000D5E73" w:rsidRDefault="000D5E73">
      <w:pPr>
        <w:rPr>
          <w:b/>
          <w:sz w:val="21"/>
          <w:szCs w:val="21"/>
        </w:rPr>
      </w:pPr>
    </w:p>
    <w:p w14:paraId="238E7C07" w14:textId="77777777" w:rsidR="000D5E73" w:rsidRDefault="000D5E73">
      <w:pPr>
        <w:rPr>
          <w:b/>
          <w:sz w:val="21"/>
          <w:szCs w:val="21"/>
        </w:rPr>
      </w:pPr>
    </w:p>
    <w:p w14:paraId="2C38E32C" w14:textId="77777777" w:rsidR="000D5E73" w:rsidRDefault="000D5E73">
      <w:pPr>
        <w:rPr>
          <w:b/>
          <w:sz w:val="21"/>
          <w:szCs w:val="21"/>
        </w:rPr>
      </w:pPr>
    </w:p>
    <w:p w14:paraId="1D6FE587" w14:textId="77777777" w:rsidR="000D5E73" w:rsidRDefault="000D5E73">
      <w:pPr>
        <w:rPr>
          <w:b/>
          <w:sz w:val="21"/>
          <w:szCs w:val="21"/>
        </w:rPr>
      </w:pPr>
    </w:p>
    <w:p w14:paraId="68C53E03" w14:textId="77777777" w:rsidR="000D5E73" w:rsidRDefault="000D5E73">
      <w:pPr>
        <w:rPr>
          <w:b/>
          <w:sz w:val="21"/>
          <w:szCs w:val="21"/>
        </w:rPr>
      </w:pPr>
    </w:p>
    <w:p w14:paraId="71E8EE5A" w14:textId="77777777" w:rsidR="000D5E73" w:rsidRDefault="000D5E73">
      <w:pPr>
        <w:rPr>
          <w:b/>
          <w:sz w:val="21"/>
          <w:szCs w:val="21"/>
        </w:rPr>
      </w:pPr>
    </w:p>
    <w:p w14:paraId="100CD6CE" w14:textId="77777777" w:rsidR="000D5E73" w:rsidRDefault="000D5E73">
      <w:pPr>
        <w:rPr>
          <w:b/>
          <w:sz w:val="21"/>
          <w:szCs w:val="21"/>
        </w:rPr>
      </w:pPr>
    </w:p>
    <w:p w14:paraId="579943B9" w14:textId="77777777" w:rsidR="000D5E73" w:rsidRDefault="000D5E73">
      <w:pPr>
        <w:rPr>
          <w:b/>
          <w:sz w:val="21"/>
          <w:szCs w:val="21"/>
        </w:rPr>
      </w:pPr>
    </w:p>
    <w:p w14:paraId="2DC7F476" w14:textId="77777777" w:rsidR="000D5E73" w:rsidRDefault="000D5E73">
      <w:pPr>
        <w:rPr>
          <w:b/>
          <w:sz w:val="21"/>
          <w:szCs w:val="21"/>
        </w:rPr>
      </w:pPr>
    </w:p>
    <w:p w14:paraId="6AFA2E0D" w14:textId="77777777" w:rsidR="000D5E73" w:rsidRDefault="000D5E73">
      <w:pPr>
        <w:rPr>
          <w:b/>
          <w:sz w:val="21"/>
          <w:szCs w:val="21"/>
        </w:rPr>
      </w:pPr>
    </w:p>
    <w:p w14:paraId="1AC5AB1A" w14:textId="77777777" w:rsidR="000D5E73" w:rsidRDefault="000D5E73">
      <w:pPr>
        <w:rPr>
          <w:b/>
          <w:sz w:val="21"/>
          <w:szCs w:val="21"/>
        </w:rPr>
      </w:pPr>
    </w:p>
    <w:p w14:paraId="2C41BA05" w14:textId="77777777" w:rsidR="000B269A" w:rsidRPr="007B5B89" w:rsidRDefault="00EC0B05">
      <w:pPr>
        <w:rPr>
          <w:b/>
          <w:sz w:val="21"/>
          <w:szCs w:val="21"/>
        </w:rPr>
      </w:pPr>
      <w:r>
        <w:rPr>
          <w:b/>
          <w:sz w:val="21"/>
          <w:szCs w:val="21"/>
        </w:rPr>
        <w:t>P</w:t>
      </w:r>
      <w:r w:rsidR="007B5B89" w:rsidRPr="007B5B89">
        <w:rPr>
          <w:b/>
          <w:sz w:val="21"/>
          <w:szCs w:val="21"/>
        </w:rPr>
        <w:t>LEASE NOTE IF YOU HAVE A LOAN REQUE</w:t>
      </w:r>
      <w:r w:rsidR="000774DA">
        <w:rPr>
          <w:b/>
          <w:sz w:val="21"/>
          <w:szCs w:val="21"/>
        </w:rPr>
        <w:t>ST THAT IS NOT</w:t>
      </w:r>
      <w:r w:rsidR="007B5B89" w:rsidRPr="007B5B89">
        <w:rPr>
          <w:b/>
          <w:sz w:val="21"/>
          <w:szCs w:val="21"/>
        </w:rPr>
        <w:t xml:space="preserve"> ADDRESS</w:t>
      </w:r>
      <w:r w:rsidR="00FA43FC">
        <w:rPr>
          <w:b/>
          <w:sz w:val="21"/>
          <w:szCs w:val="21"/>
        </w:rPr>
        <w:t>ED</w:t>
      </w:r>
      <w:r w:rsidR="007B5B89" w:rsidRPr="007B5B89">
        <w:rPr>
          <w:b/>
          <w:sz w:val="21"/>
          <w:szCs w:val="21"/>
        </w:rPr>
        <w:t xml:space="preserve"> IN THIS MATRIX OR MAY BE AN EXCEPTION TO THE GUIDELINES SHOWN HERE, CONTACT YOUR ACCOUNT EXECUTIVE TO DISCUSS IT.</w:t>
      </w:r>
    </w:p>
    <w:p w14:paraId="708A26C8" w14:textId="77777777" w:rsidR="00EF6866" w:rsidRPr="000016AE" w:rsidRDefault="00EF6866">
      <w:pPr>
        <w:rPr>
          <w:sz w:val="21"/>
          <w:szCs w:val="21"/>
        </w:rPr>
      </w:pPr>
    </w:p>
    <w:tbl>
      <w:tblPr>
        <w:tblStyle w:val="TableGrid"/>
        <w:tblW w:w="5000" w:type="pct"/>
        <w:tblLook w:val="04A0" w:firstRow="1" w:lastRow="0" w:firstColumn="1" w:lastColumn="0" w:noHBand="0" w:noVBand="1"/>
      </w:tblPr>
      <w:tblGrid>
        <w:gridCol w:w="2883"/>
        <w:gridCol w:w="7907"/>
      </w:tblGrid>
      <w:tr w:rsidR="00EC0B05" w:rsidRPr="00EC0B05" w14:paraId="0F02F8F7" w14:textId="77777777" w:rsidTr="000D5E73">
        <w:tc>
          <w:tcPr>
            <w:tcW w:w="5000" w:type="pct"/>
            <w:gridSpan w:val="2"/>
            <w:shd w:val="clear" w:color="auto" w:fill="F2F2F2" w:themeFill="background1" w:themeFillShade="F2"/>
          </w:tcPr>
          <w:p w14:paraId="7EFEC61B" w14:textId="2E739092" w:rsidR="00BC0777" w:rsidRPr="00EC0B05" w:rsidRDefault="002D1DA1">
            <w:pPr>
              <w:jc w:val="center"/>
              <w:rPr>
                <w:b/>
                <w:sz w:val="24"/>
                <w:szCs w:val="24"/>
              </w:rPr>
            </w:pPr>
            <w:r>
              <w:rPr>
                <w:b/>
                <w:sz w:val="24"/>
                <w:szCs w:val="24"/>
              </w:rPr>
              <w:t>Axos Bank</w:t>
            </w:r>
            <w:r w:rsidRPr="002D1DA1">
              <w:rPr>
                <w:b/>
                <w:sz w:val="24"/>
                <w:szCs w:val="24"/>
                <w:vertAlign w:val="superscript"/>
              </w:rPr>
              <w:t>TM</w:t>
            </w:r>
            <w:r w:rsidR="00C24144" w:rsidRPr="00EC0B05">
              <w:rPr>
                <w:b/>
                <w:sz w:val="24"/>
                <w:szCs w:val="24"/>
              </w:rPr>
              <w:t xml:space="preserve"> SFR Portfolio Matrix</w:t>
            </w:r>
          </w:p>
        </w:tc>
      </w:tr>
      <w:tr w:rsidR="00EC0B05" w:rsidRPr="00EC0B05" w14:paraId="36D5F4ED" w14:textId="77777777" w:rsidTr="0063752F">
        <w:tc>
          <w:tcPr>
            <w:tcW w:w="1336" w:type="pct"/>
          </w:tcPr>
          <w:p w14:paraId="0015D8A7" w14:textId="77777777" w:rsidR="000016AE" w:rsidRPr="00EC0B05" w:rsidRDefault="000016AE" w:rsidP="00471F7C">
            <w:pPr>
              <w:rPr>
                <w:b/>
                <w:sz w:val="21"/>
                <w:szCs w:val="21"/>
              </w:rPr>
            </w:pPr>
            <w:bookmarkStart w:id="0" w:name="aaexch_1031"/>
            <w:bookmarkStart w:id="1" w:name="ten31_exchange"/>
            <w:r w:rsidRPr="00EC0B05">
              <w:rPr>
                <w:b/>
                <w:sz w:val="21"/>
                <w:szCs w:val="21"/>
              </w:rPr>
              <w:t>1031 Exchange</w:t>
            </w:r>
            <w:bookmarkEnd w:id="0"/>
            <w:bookmarkEnd w:id="1"/>
          </w:p>
        </w:tc>
        <w:tc>
          <w:tcPr>
            <w:tcW w:w="3664" w:type="pct"/>
          </w:tcPr>
          <w:p w14:paraId="612525A1" w14:textId="77777777" w:rsidR="000016AE" w:rsidRPr="00EC0B05" w:rsidRDefault="000016AE" w:rsidP="00471F7C">
            <w:pPr>
              <w:pStyle w:val="BodyText"/>
              <w:tabs>
                <w:tab w:val="left" w:pos="3020"/>
              </w:tabs>
              <w:kinsoku w:val="0"/>
              <w:overflowPunct w:val="0"/>
              <w:ind w:left="142"/>
              <w:rPr>
                <w:rFonts w:asciiTheme="minorHAnsi" w:eastAsiaTheme="minorHAnsi" w:hAnsiTheme="minorHAnsi" w:cstheme="minorBidi"/>
                <w:w w:val="105"/>
              </w:rPr>
            </w:pPr>
            <w:r w:rsidRPr="00EC0B05">
              <w:rPr>
                <w:rFonts w:asciiTheme="minorHAnsi" w:eastAsiaTheme="minorHAnsi" w:hAnsiTheme="minorHAnsi" w:cstheme="minorBidi"/>
                <w:w w:val="105"/>
              </w:rPr>
              <w:t>Assets for the down payment from a "like-kind exchange," also known as a 1031 exchange, are eligible if properly documented.  The following documents are required:</w:t>
            </w:r>
          </w:p>
          <w:p w14:paraId="69217CB6" w14:textId="77777777" w:rsidR="000016AE" w:rsidRPr="00EC0B05" w:rsidRDefault="000016AE" w:rsidP="00A8756A">
            <w:pPr>
              <w:pStyle w:val="ListParagraph"/>
              <w:numPr>
                <w:ilvl w:val="0"/>
                <w:numId w:val="19"/>
              </w:numPr>
              <w:rPr>
                <w:w w:val="105"/>
                <w:sz w:val="21"/>
                <w:szCs w:val="21"/>
              </w:rPr>
            </w:pPr>
            <w:r w:rsidRPr="00EC0B05">
              <w:rPr>
                <w:w w:val="105"/>
                <w:sz w:val="21"/>
                <w:szCs w:val="21"/>
              </w:rPr>
              <w:t>The Closing Disclosure for the property sold by the borrower as part of the exchange</w:t>
            </w:r>
          </w:p>
          <w:p w14:paraId="44BA36D2" w14:textId="77777777" w:rsidR="000016AE" w:rsidRPr="00EC0B05" w:rsidRDefault="000016AE" w:rsidP="00A8756A">
            <w:pPr>
              <w:pStyle w:val="ListParagraph"/>
              <w:numPr>
                <w:ilvl w:val="0"/>
                <w:numId w:val="19"/>
              </w:numPr>
              <w:rPr>
                <w:w w:val="105"/>
                <w:sz w:val="21"/>
                <w:szCs w:val="21"/>
              </w:rPr>
            </w:pPr>
            <w:r w:rsidRPr="00EC0B05">
              <w:rPr>
                <w:w w:val="105"/>
                <w:sz w:val="21"/>
                <w:szCs w:val="21"/>
              </w:rPr>
              <w:t>A statement from the accommodator holding the funds verifying the funds held for the borrower</w:t>
            </w:r>
          </w:p>
        </w:tc>
      </w:tr>
      <w:tr w:rsidR="00EC0B05" w:rsidRPr="00EC0B05" w14:paraId="563BC138" w14:textId="77777777" w:rsidTr="0063752F">
        <w:tc>
          <w:tcPr>
            <w:tcW w:w="1336" w:type="pct"/>
          </w:tcPr>
          <w:p w14:paraId="4921EB62" w14:textId="77777777" w:rsidR="000016AE" w:rsidRPr="00EC0B05" w:rsidRDefault="000016AE" w:rsidP="00471F7C">
            <w:pPr>
              <w:rPr>
                <w:b/>
                <w:sz w:val="21"/>
                <w:szCs w:val="21"/>
              </w:rPr>
            </w:pPr>
            <w:bookmarkStart w:id="2" w:name="adverse_credit"/>
            <w:r w:rsidRPr="00EC0B05">
              <w:rPr>
                <w:b/>
                <w:sz w:val="21"/>
                <w:szCs w:val="21"/>
              </w:rPr>
              <w:t>Adverse Credit</w:t>
            </w:r>
            <w:bookmarkEnd w:id="2"/>
          </w:p>
        </w:tc>
        <w:tc>
          <w:tcPr>
            <w:tcW w:w="3664" w:type="pct"/>
          </w:tcPr>
          <w:p w14:paraId="354FECCA" w14:textId="77777777" w:rsidR="000016AE" w:rsidRPr="00EC0B05" w:rsidRDefault="000016AE">
            <w:pPr>
              <w:contextualSpacing/>
              <w:rPr>
                <w:b/>
                <w:sz w:val="21"/>
                <w:szCs w:val="21"/>
              </w:rPr>
            </w:pPr>
            <w:r w:rsidRPr="00EC0B05">
              <w:rPr>
                <w:w w:val="110"/>
                <w:sz w:val="21"/>
                <w:szCs w:val="21"/>
              </w:rPr>
              <w:t>Collection accounts and judgments of minimal amounts require a satisfactory explanation and review by the underwriter to determine if the open account will impact the applicant’s ability to keep payments current or if the payoff is required prior to or at closing.  Collections and judgments greater than minimal amounts should be determined by the underwriter if they should be paid off prior to or at closing, unless a valid dispute exists, is fully verified, and well-documented. All tax liens must be satisfied prior to or at closing.</w:t>
            </w:r>
          </w:p>
        </w:tc>
      </w:tr>
      <w:tr w:rsidR="00EC0B05" w:rsidRPr="00EC0B05" w14:paraId="2C27555B" w14:textId="77777777" w:rsidTr="0063752F">
        <w:tc>
          <w:tcPr>
            <w:tcW w:w="1336" w:type="pct"/>
          </w:tcPr>
          <w:p w14:paraId="4D707841" w14:textId="77777777" w:rsidR="000016AE" w:rsidRPr="00EC0B05" w:rsidRDefault="000016AE" w:rsidP="00471F7C">
            <w:pPr>
              <w:rPr>
                <w:b/>
                <w:sz w:val="21"/>
                <w:szCs w:val="21"/>
              </w:rPr>
            </w:pPr>
            <w:bookmarkStart w:id="3" w:name="agri_prop"/>
            <w:r w:rsidRPr="00EC0B05">
              <w:rPr>
                <w:b/>
                <w:sz w:val="21"/>
                <w:szCs w:val="21"/>
              </w:rPr>
              <w:t>Agricultural Properties</w:t>
            </w:r>
            <w:bookmarkEnd w:id="3"/>
          </w:p>
        </w:tc>
        <w:tc>
          <w:tcPr>
            <w:tcW w:w="3664" w:type="pct"/>
          </w:tcPr>
          <w:p w14:paraId="6EC23991" w14:textId="77777777" w:rsidR="000016AE" w:rsidRPr="00EC0B05" w:rsidRDefault="000016AE">
            <w:pPr>
              <w:pStyle w:val="BodyText"/>
              <w:tabs>
                <w:tab w:val="left" w:pos="3012"/>
              </w:tabs>
              <w:kinsoku w:val="0"/>
              <w:overflowPunct w:val="0"/>
              <w:rPr>
                <w:rFonts w:asciiTheme="minorHAnsi" w:hAnsiTheme="minorHAnsi"/>
                <w:b/>
              </w:rPr>
            </w:pPr>
            <w:r w:rsidRPr="00EC0B05">
              <w:rPr>
                <w:rFonts w:asciiTheme="minorHAnsi" w:eastAsiaTheme="minorHAnsi" w:hAnsiTheme="minorHAnsi" w:cstheme="minorBidi"/>
                <w:w w:val="110"/>
              </w:rPr>
              <w:t xml:space="preserve">Residential properties that are partially utilized for agricultural purposes are eligible, if the agricultural activities represent the borrower's hobby. Hobby is defined as an activity that generates less than 10% of the borrower's gross income.  Properties with a commercial business and/or commercial buildings are not eligible.  </w:t>
            </w:r>
          </w:p>
        </w:tc>
      </w:tr>
      <w:tr w:rsidR="00EC0B05" w:rsidRPr="00EC0B05" w14:paraId="168A3995" w14:textId="77777777" w:rsidTr="0063752F">
        <w:tc>
          <w:tcPr>
            <w:tcW w:w="1336" w:type="pct"/>
          </w:tcPr>
          <w:p w14:paraId="7C024A43" w14:textId="77777777" w:rsidR="000016AE" w:rsidRPr="00EC0B05" w:rsidRDefault="000016AE" w:rsidP="00471F7C">
            <w:pPr>
              <w:rPr>
                <w:b/>
                <w:w w:val="110"/>
                <w:sz w:val="21"/>
                <w:szCs w:val="21"/>
              </w:rPr>
            </w:pPr>
            <w:bookmarkStart w:id="4" w:name="alimony_child"/>
            <w:r w:rsidRPr="00EC0B05">
              <w:rPr>
                <w:b/>
                <w:w w:val="110"/>
                <w:sz w:val="21"/>
                <w:szCs w:val="21"/>
              </w:rPr>
              <w:t>Alimony/Child Support</w:t>
            </w:r>
            <w:bookmarkEnd w:id="4"/>
            <w:r w:rsidR="00A874AA" w:rsidRPr="00EC0B05">
              <w:rPr>
                <w:b/>
                <w:w w:val="110"/>
                <w:sz w:val="21"/>
                <w:szCs w:val="21"/>
              </w:rPr>
              <w:t xml:space="preserve"> Income</w:t>
            </w:r>
          </w:p>
        </w:tc>
        <w:tc>
          <w:tcPr>
            <w:tcW w:w="3664" w:type="pct"/>
          </w:tcPr>
          <w:p w14:paraId="7EE7F41B" w14:textId="77777777" w:rsidR="000016AE" w:rsidRPr="00EC0B05" w:rsidRDefault="000016AE">
            <w:pPr>
              <w:autoSpaceDE w:val="0"/>
              <w:autoSpaceDN w:val="0"/>
              <w:adjustRightInd w:val="0"/>
              <w:contextualSpacing/>
              <w:rPr>
                <w:w w:val="110"/>
                <w:sz w:val="21"/>
                <w:szCs w:val="21"/>
              </w:rPr>
            </w:pPr>
            <w:r w:rsidRPr="00EC0B05">
              <w:rPr>
                <w:w w:val="110"/>
                <w:sz w:val="21"/>
                <w:szCs w:val="21"/>
              </w:rPr>
              <w:t>Document that alimony or child support will continue to be paid for at least three years after the date of the mortgage application, as ve</w:t>
            </w:r>
            <w:r w:rsidR="00F166CB">
              <w:rPr>
                <w:w w:val="110"/>
                <w:sz w:val="21"/>
                <w:szCs w:val="21"/>
              </w:rPr>
              <w:t>rified by one of the following:</w:t>
            </w:r>
          </w:p>
          <w:p w14:paraId="3C6D55B1" w14:textId="5C116F81" w:rsidR="00D95766" w:rsidRDefault="000016AE" w:rsidP="00471F7C">
            <w:pPr>
              <w:pStyle w:val="ListParagraph"/>
              <w:numPr>
                <w:ilvl w:val="0"/>
                <w:numId w:val="3"/>
              </w:numPr>
              <w:autoSpaceDE w:val="0"/>
              <w:autoSpaceDN w:val="0"/>
              <w:adjustRightInd w:val="0"/>
              <w:rPr>
                <w:w w:val="110"/>
                <w:sz w:val="21"/>
                <w:szCs w:val="21"/>
              </w:rPr>
            </w:pPr>
            <w:r w:rsidRPr="00EC0B05">
              <w:rPr>
                <w:w w:val="110"/>
                <w:sz w:val="21"/>
                <w:szCs w:val="21"/>
              </w:rPr>
              <w:t>A copy of a divorce decree or separation agreement (if the divorce is not final) that indicates payment of alimony or child support and states the amount of the award and the period of time that it will be received.</w:t>
            </w:r>
            <w:r w:rsidR="00D95766">
              <w:rPr>
                <w:w w:val="110"/>
                <w:sz w:val="21"/>
                <w:szCs w:val="21"/>
              </w:rPr>
              <w:t xml:space="preserve"> </w:t>
            </w:r>
            <w:r w:rsidR="00F528DA">
              <w:rPr>
                <w:w w:val="110"/>
                <w:sz w:val="21"/>
                <w:szCs w:val="21"/>
              </w:rPr>
              <w:t xml:space="preserve">If a divorce decree, </w:t>
            </w:r>
            <w:r w:rsidR="00D95766">
              <w:rPr>
                <w:w w:val="110"/>
                <w:sz w:val="21"/>
                <w:szCs w:val="21"/>
              </w:rPr>
              <w:t>separation agreement</w:t>
            </w:r>
            <w:r w:rsidR="00F528DA">
              <w:rPr>
                <w:w w:val="110"/>
                <w:sz w:val="21"/>
                <w:szCs w:val="21"/>
              </w:rPr>
              <w:t>, or other legally binding court document is provided</w:t>
            </w:r>
            <w:r w:rsidRPr="00EC0B05">
              <w:rPr>
                <w:w w:val="110"/>
                <w:sz w:val="21"/>
                <w:szCs w:val="21"/>
              </w:rPr>
              <w:t xml:space="preserve">  </w:t>
            </w:r>
          </w:p>
          <w:p w14:paraId="238CB51C" w14:textId="46190604" w:rsidR="000016AE" w:rsidRPr="00EC0B05" w:rsidRDefault="000016AE" w:rsidP="00471F7C">
            <w:pPr>
              <w:pStyle w:val="ListParagraph"/>
              <w:numPr>
                <w:ilvl w:val="0"/>
                <w:numId w:val="3"/>
              </w:numPr>
              <w:autoSpaceDE w:val="0"/>
              <w:autoSpaceDN w:val="0"/>
              <w:adjustRightInd w:val="0"/>
              <w:rPr>
                <w:w w:val="110"/>
                <w:sz w:val="21"/>
                <w:szCs w:val="21"/>
              </w:rPr>
            </w:pPr>
            <w:r w:rsidRPr="00EC0B05">
              <w:rPr>
                <w:w w:val="110"/>
                <w:sz w:val="21"/>
                <w:szCs w:val="21"/>
              </w:rPr>
              <w:t>If the borrower is recently separated or divorced and the payment is established (received for a minimum of one month), the income can be considered with documentation that s</w:t>
            </w:r>
            <w:r w:rsidR="00AE4A07">
              <w:rPr>
                <w:w w:val="110"/>
                <w:sz w:val="21"/>
                <w:szCs w:val="21"/>
              </w:rPr>
              <w:t>hows</w:t>
            </w:r>
            <w:r w:rsidRPr="00EC0B05">
              <w:rPr>
                <w:w w:val="110"/>
                <w:sz w:val="21"/>
                <w:szCs w:val="21"/>
              </w:rPr>
              <w:t xml:space="preserve"> </w:t>
            </w:r>
            <w:r w:rsidR="00AE4A07">
              <w:rPr>
                <w:w w:val="110"/>
                <w:sz w:val="21"/>
                <w:szCs w:val="21"/>
              </w:rPr>
              <w:t xml:space="preserve">6 months of </w:t>
            </w:r>
            <w:r w:rsidRPr="00EC0B05">
              <w:rPr>
                <w:w w:val="110"/>
                <w:sz w:val="21"/>
                <w:szCs w:val="21"/>
              </w:rPr>
              <w:t>payments</w:t>
            </w:r>
            <w:r w:rsidR="00AE4A07">
              <w:rPr>
                <w:w w:val="110"/>
                <w:sz w:val="21"/>
                <w:szCs w:val="21"/>
              </w:rPr>
              <w:t xml:space="preserve"> made</w:t>
            </w:r>
            <w:r w:rsidRPr="00EC0B05">
              <w:rPr>
                <w:w w:val="110"/>
                <w:sz w:val="21"/>
                <w:szCs w:val="21"/>
              </w:rPr>
              <w:t xml:space="preserve"> by the former spouse.  </w:t>
            </w:r>
          </w:p>
          <w:p w14:paraId="680CAC0A" w14:textId="77777777" w:rsidR="000016AE" w:rsidRPr="00EC0B05" w:rsidRDefault="000016AE" w:rsidP="00471F7C">
            <w:pPr>
              <w:pStyle w:val="ListParagraph"/>
              <w:autoSpaceDE w:val="0"/>
              <w:autoSpaceDN w:val="0"/>
              <w:adjustRightInd w:val="0"/>
              <w:ind w:left="0"/>
              <w:rPr>
                <w:w w:val="110"/>
                <w:sz w:val="21"/>
                <w:szCs w:val="21"/>
              </w:rPr>
            </w:pPr>
          </w:p>
          <w:p w14:paraId="7673BB56" w14:textId="6BAA1917" w:rsidR="000016AE" w:rsidRPr="00EC0B05" w:rsidRDefault="000016AE" w:rsidP="005B6AB8">
            <w:pPr>
              <w:autoSpaceDE w:val="0"/>
              <w:autoSpaceDN w:val="0"/>
              <w:adjustRightInd w:val="0"/>
              <w:contextualSpacing/>
              <w:rPr>
                <w:w w:val="110"/>
                <w:sz w:val="21"/>
                <w:szCs w:val="21"/>
              </w:rPr>
            </w:pPr>
            <w:r w:rsidRPr="00EC0B05">
              <w:rPr>
                <w:w w:val="110"/>
                <w:sz w:val="21"/>
                <w:szCs w:val="21"/>
              </w:rPr>
              <w:t>Note: If a borrower who is separated does not have a separation agreement that specifies alimony or child support payments, it is acceptable to consider any proposed or voluntary payments as income with supporting documentat</w:t>
            </w:r>
            <w:r w:rsidR="005B6AB8">
              <w:rPr>
                <w:w w:val="110"/>
                <w:sz w:val="21"/>
                <w:szCs w:val="21"/>
              </w:rPr>
              <w:t xml:space="preserve">ion and reasonable rationale.  </w:t>
            </w:r>
            <w:r w:rsidRPr="00EC0B05">
              <w:rPr>
                <w:w w:val="110"/>
                <w:sz w:val="21"/>
                <w:szCs w:val="21"/>
              </w:rPr>
              <w:t xml:space="preserve">A history of receipt should be documented, if </w:t>
            </w:r>
            <w:r w:rsidR="005B6AB8">
              <w:rPr>
                <w:w w:val="110"/>
                <w:sz w:val="21"/>
                <w:szCs w:val="21"/>
              </w:rPr>
              <w:t xml:space="preserve">there is no formal agreement.  </w:t>
            </w:r>
          </w:p>
          <w:p w14:paraId="50E6BB71" w14:textId="77777777" w:rsidR="000016AE" w:rsidRPr="00EC0B05" w:rsidRDefault="000016AE" w:rsidP="00471F7C">
            <w:pPr>
              <w:pStyle w:val="ListParagraph"/>
              <w:numPr>
                <w:ilvl w:val="0"/>
                <w:numId w:val="3"/>
              </w:numPr>
              <w:autoSpaceDE w:val="0"/>
              <w:autoSpaceDN w:val="0"/>
              <w:adjustRightInd w:val="0"/>
              <w:rPr>
                <w:w w:val="110"/>
                <w:sz w:val="21"/>
                <w:szCs w:val="21"/>
              </w:rPr>
            </w:pPr>
            <w:r w:rsidRPr="00EC0B05">
              <w:rPr>
                <w:w w:val="110"/>
                <w:sz w:val="21"/>
                <w:szCs w:val="21"/>
              </w:rPr>
              <w:t>Any other type of written legal agreement or court decree describing the payment terms for the alimony or child support may be reviewed.</w:t>
            </w:r>
          </w:p>
          <w:p w14:paraId="3EB1B8CA" w14:textId="77777777" w:rsidR="000016AE" w:rsidRPr="00EC0B05" w:rsidRDefault="000016AE" w:rsidP="00471F7C">
            <w:pPr>
              <w:pStyle w:val="ListParagraph"/>
              <w:autoSpaceDE w:val="0"/>
              <w:autoSpaceDN w:val="0"/>
              <w:adjustRightInd w:val="0"/>
              <w:ind w:left="3960"/>
              <w:rPr>
                <w:w w:val="110"/>
                <w:sz w:val="21"/>
                <w:szCs w:val="21"/>
              </w:rPr>
            </w:pPr>
          </w:p>
          <w:p w14:paraId="6F54E1A1" w14:textId="5AEA6814" w:rsidR="00485775" w:rsidRDefault="00485775">
            <w:pPr>
              <w:autoSpaceDE w:val="0"/>
              <w:autoSpaceDN w:val="0"/>
              <w:adjustRightInd w:val="0"/>
              <w:contextualSpacing/>
              <w:rPr>
                <w:w w:val="110"/>
                <w:sz w:val="21"/>
                <w:szCs w:val="21"/>
              </w:rPr>
            </w:pPr>
            <w:r>
              <w:rPr>
                <w:w w:val="110"/>
                <w:sz w:val="21"/>
                <w:szCs w:val="21"/>
              </w:rPr>
              <w:t>Any non-taxable portion of child support may be grossed up 125%.</w:t>
            </w:r>
          </w:p>
          <w:p w14:paraId="07E0B9F3" w14:textId="77777777" w:rsidR="00485775" w:rsidRDefault="00485775">
            <w:pPr>
              <w:autoSpaceDE w:val="0"/>
              <w:autoSpaceDN w:val="0"/>
              <w:adjustRightInd w:val="0"/>
              <w:contextualSpacing/>
              <w:rPr>
                <w:w w:val="110"/>
                <w:sz w:val="21"/>
                <w:szCs w:val="21"/>
              </w:rPr>
            </w:pPr>
          </w:p>
          <w:p w14:paraId="430AF5F3" w14:textId="015DD5D3" w:rsidR="000016AE" w:rsidRPr="00EC0B05" w:rsidRDefault="000016AE">
            <w:pPr>
              <w:autoSpaceDE w:val="0"/>
              <w:autoSpaceDN w:val="0"/>
              <w:adjustRightInd w:val="0"/>
              <w:contextualSpacing/>
              <w:rPr>
                <w:w w:val="110"/>
                <w:sz w:val="21"/>
                <w:szCs w:val="21"/>
              </w:rPr>
            </w:pPr>
            <w:r w:rsidRPr="00EC0B05">
              <w:rPr>
                <w:w w:val="110"/>
                <w:sz w:val="21"/>
                <w:szCs w:val="21"/>
              </w:rPr>
              <w:t>Limitations on the continuance of the payments, such as the age of the children for whom the support is being paid or the duration that alimony is required to be paid, should be identified.</w:t>
            </w:r>
          </w:p>
        </w:tc>
      </w:tr>
      <w:tr w:rsidR="00EC0B05" w:rsidRPr="00EC0B05" w14:paraId="30B1C5F6" w14:textId="77777777" w:rsidTr="0063752F">
        <w:tc>
          <w:tcPr>
            <w:tcW w:w="1336" w:type="pct"/>
          </w:tcPr>
          <w:p w14:paraId="4FCFB57C" w14:textId="77777777" w:rsidR="000016AE" w:rsidRPr="00EC0B05" w:rsidRDefault="000016AE" w:rsidP="00471F7C">
            <w:pPr>
              <w:rPr>
                <w:b/>
                <w:w w:val="110"/>
                <w:sz w:val="21"/>
                <w:szCs w:val="21"/>
              </w:rPr>
            </w:pPr>
            <w:bookmarkStart w:id="5" w:name="alimony_child_debt"/>
            <w:r w:rsidRPr="00EC0B05">
              <w:rPr>
                <w:b/>
                <w:w w:val="110"/>
                <w:sz w:val="21"/>
                <w:szCs w:val="21"/>
              </w:rPr>
              <w:lastRenderedPageBreak/>
              <w:t>Alimony/Child Support Debt</w:t>
            </w:r>
            <w:bookmarkEnd w:id="5"/>
          </w:p>
        </w:tc>
        <w:tc>
          <w:tcPr>
            <w:tcW w:w="3664" w:type="pct"/>
          </w:tcPr>
          <w:p w14:paraId="545305A7" w14:textId="41304C4A" w:rsidR="007F124E" w:rsidRPr="00471F7C" w:rsidRDefault="000016AE" w:rsidP="00471F7C">
            <w:pPr>
              <w:pStyle w:val="ListParagraph"/>
              <w:widowControl w:val="0"/>
              <w:numPr>
                <w:ilvl w:val="0"/>
                <w:numId w:val="3"/>
              </w:numPr>
              <w:ind w:right="171"/>
              <w:rPr>
                <w:w w:val="110"/>
                <w:sz w:val="21"/>
                <w:szCs w:val="21"/>
              </w:rPr>
            </w:pPr>
            <w:r w:rsidRPr="00471F7C">
              <w:rPr>
                <w:w w:val="110"/>
                <w:sz w:val="21"/>
                <w:szCs w:val="21"/>
              </w:rPr>
              <w:t>Alimony</w:t>
            </w:r>
            <w:r w:rsidR="007F124E" w:rsidRPr="00471F7C">
              <w:rPr>
                <w:w w:val="110"/>
                <w:sz w:val="21"/>
                <w:szCs w:val="21"/>
              </w:rPr>
              <w:t xml:space="preserve"> </w:t>
            </w:r>
            <w:r w:rsidR="00F722FA">
              <w:rPr>
                <w:w w:val="110"/>
                <w:sz w:val="21"/>
                <w:szCs w:val="21"/>
              </w:rPr>
              <w:t>is</w:t>
            </w:r>
            <w:r w:rsidRPr="00471F7C">
              <w:rPr>
                <w:w w:val="110"/>
                <w:sz w:val="21"/>
                <w:szCs w:val="21"/>
              </w:rPr>
              <w:t xml:space="preserve"> treated as a reduction in income. </w:t>
            </w:r>
          </w:p>
          <w:p w14:paraId="19F0D43B" w14:textId="7D26A1E6" w:rsidR="007F124E" w:rsidRPr="00471F7C" w:rsidRDefault="00F722FA" w:rsidP="00471F7C">
            <w:pPr>
              <w:pStyle w:val="ListParagraph"/>
              <w:widowControl w:val="0"/>
              <w:numPr>
                <w:ilvl w:val="0"/>
                <w:numId w:val="3"/>
              </w:numPr>
              <w:ind w:right="171"/>
              <w:rPr>
                <w:w w:val="110"/>
                <w:sz w:val="21"/>
                <w:szCs w:val="21"/>
              </w:rPr>
            </w:pPr>
            <w:r w:rsidRPr="00471F7C">
              <w:rPr>
                <w:w w:val="110"/>
                <w:sz w:val="21"/>
                <w:szCs w:val="21"/>
              </w:rPr>
              <w:t>Child support/maintenance is</w:t>
            </w:r>
            <w:r w:rsidR="007F124E" w:rsidRPr="00471F7C">
              <w:rPr>
                <w:w w:val="110"/>
                <w:sz w:val="21"/>
                <w:szCs w:val="21"/>
              </w:rPr>
              <w:t xml:space="preserve"> treated as a monthly debt obligation.</w:t>
            </w:r>
          </w:p>
          <w:p w14:paraId="6E724444" w14:textId="74EB8A3F" w:rsidR="000016AE" w:rsidRPr="00EC0B05" w:rsidRDefault="000016AE" w:rsidP="00471F7C">
            <w:pPr>
              <w:widowControl w:val="0"/>
              <w:ind w:right="171"/>
              <w:contextualSpacing/>
              <w:rPr>
                <w:w w:val="110"/>
                <w:sz w:val="21"/>
                <w:szCs w:val="21"/>
              </w:rPr>
            </w:pPr>
            <w:r w:rsidRPr="00EC0B05">
              <w:rPr>
                <w:w w:val="110"/>
                <w:sz w:val="21"/>
                <w:szCs w:val="21"/>
              </w:rPr>
              <w:t xml:space="preserve">The amount of such payments should be documented.  Proof that these amounts are being paid may be required.  These obligations should be disclosed on the application and considered a recurring debt if more than 10 months of payments remain.  The divorce decree is reviewed to determine number of months the obligation will remain.  If the ages or date of birth of children is not specified in the divorce decree, birth certificates are requested to determine when the support will cease.  </w:t>
            </w:r>
          </w:p>
        </w:tc>
      </w:tr>
      <w:tr w:rsidR="00EC0B05" w:rsidRPr="00EC0B05" w14:paraId="5A23642B" w14:textId="77777777" w:rsidTr="0063752F">
        <w:tc>
          <w:tcPr>
            <w:tcW w:w="1336" w:type="pct"/>
          </w:tcPr>
          <w:p w14:paraId="2F043F84" w14:textId="2EF773BB" w:rsidR="000016AE" w:rsidRPr="00EC0B05" w:rsidRDefault="000016AE" w:rsidP="00471F7C">
            <w:pPr>
              <w:rPr>
                <w:b/>
                <w:sz w:val="21"/>
                <w:szCs w:val="21"/>
              </w:rPr>
            </w:pPr>
            <w:bookmarkStart w:id="6" w:name="appraisal_age"/>
            <w:r w:rsidRPr="00EC0B05">
              <w:rPr>
                <w:b/>
                <w:sz w:val="21"/>
                <w:szCs w:val="21"/>
              </w:rPr>
              <w:t>Appraisal</w:t>
            </w:r>
            <w:bookmarkEnd w:id="6"/>
            <w:r w:rsidR="00270CC2">
              <w:rPr>
                <w:b/>
                <w:sz w:val="21"/>
                <w:szCs w:val="21"/>
              </w:rPr>
              <w:t>s</w:t>
            </w:r>
          </w:p>
        </w:tc>
        <w:tc>
          <w:tcPr>
            <w:tcW w:w="3664" w:type="pct"/>
          </w:tcPr>
          <w:p w14:paraId="5C1BF740" w14:textId="77777777" w:rsidR="00270CC2" w:rsidRDefault="000016AE">
            <w:pPr>
              <w:rPr>
                <w:sz w:val="21"/>
                <w:szCs w:val="21"/>
              </w:rPr>
            </w:pPr>
            <w:r w:rsidRPr="00EC0B05">
              <w:rPr>
                <w:sz w:val="21"/>
                <w:szCs w:val="21"/>
              </w:rPr>
              <w:t>An appraisal report is valid for four months preceding the date of note and closing documents and the appraisal report must not be more than 12 months old.  If the appraisal report is greater than 4 months old on the date of the note and mortgage, then an appraisal update is required.   </w:t>
            </w:r>
          </w:p>
          <w:p w14:paraId="6EC98599" w14:textId="77777777" w:rsidR="00270CC2" w:rsidRDefault="00270CC2">
            <w:pPr>
              <w:rPr>
                <w:sz w:val="21"/>
                <w:szCs w:val="21"/>
              </w:rPr>
            </w:pPr>
          </w:p>
          <w:p w14:paraId="581DC06A" w14:textId="77777777" w:rsidR="000016AE" w:rsidRDefault="000016AE">
            <w:pPr>
              <w:rPr>
                <w:sz w:val="21"/>
                <w:szCs w:val="21"/>
              </w:rPr>
            </w:pPr>
            <w:r w:rsidRPr="00EC0B05">
              <w:rPr>
                <w:sz w:val="21"/>
                <w:szCs w:val="21"/>
              </w:rPr>
              <w:t>The appraiser must inspect the exterior of the property and review current market data to determine whether the property has declined in value since the date of the original appraisal.  This inspection and results of the analysis must be reported on the Appraisal Update and/or Completion Report (Form 1004D).  At a minimum, when completing the Appraisal Update portion of the report, a photograph of the front of the subject property must be included.</w:t>
            </w:r>
          </w:p>
          <w:p w14:paraId="5C0490B5" w14:textId="77777777" w:rsidR="00270CC2" w:rsidRDefault="00270CC2">
            <w:pPr>
              <w:rPr>
                <w:sz w:val="21"/>
                <w:szCs w:val="21"/>
              </w:rPr>
            </w:pPr>
          </w:p>
          <w:p w14:paraId="15771151" w14:textId="77777777" w:rsidR="00BE3A2A" w:rsidRDefault="00BE3A2A" w:rsidP="00BE3A2A">
            <w:pPr>
              <w:rPr>
                <w:sz w:val="21"/>
                <w:szCs w:val="21"/>
              </w:rPr>
            </w:pPr>
            <w:r w:rsidRPr="00A049DF">
              <w:rPr>
                <w:b/>
                <w:sz w:val="21"/>
                <w:szCs w:val="21"/>
              </w:rPr>
              <w:t>NOTE:</w:t>
            </w:r>
            <w:r>
              <w:rPr>
                <w:sz w:val="21"/>
                <w:szCs w:val="21"/>
              </w:rPr>
              <w:t xml:space="preserve"> Axos Bank adheres to a policy of selecting the most reliable appraisal, as stated in Section II of AIR.</w:t>
            </w:r>
          </w:p>
          <w:p w14:paraId="13E0180F" w14:textId="77777777" w:rsidR="00BE3A2A" w:rsidRDefault="00BE3A2A" w:rsidP="00BE3A2A">
            <w:pPr>
              <w:rPr>
                <w:sz w:val="21"/>
                <w:szCs w:val="21"/>
              </w:rPr>
            </w:pPr>
          </w:p>
          <w:p w14:paraId="1707C3CE" w14:textId="77777777" w:rsidR="00BE3A2A" w:rsidRDefault="00BE3A2A" w:rsidP="00BE3A2A">
            <w:pPr>
              <w:rPr>
                <w:sz w:val="21"/>
                <w:szCs w:val="21"/>
              </w:rPr>
            </w:pPr>
            <w:r>
              <w:rPr>
                <w:sz w:val="21"/>
                <w:szCs w:val="21"/>
              </w:rPr>
              <w:t xml:space="preserve">As such, mortgage brokers and correspondent lenders are prohibited from ordering additional appraisals in an attempt to influence the outcome of the first or second appraisals or for value shopping purposes. </w:t>
            </w:r>
          </w:p>
          <w:p w14:paraId="1FEF6CD6" w14:textId="77777777" w:rsidR="00BE3A2A" w:rsidRDefault="00BE3A2A" w:rsidP="00BE3A2A">
            <w:pPr>
              <w:rPr>
                <w:sz w:val="21"/>
                <w:szCs w:val="21"/>
              </w:rPr>
            </w:pPr>
          </w:p>
          <w:p w14:paraId="510579ED" w14:textId="3F2F0DA8" w:rsidR="00AD7CE2" w:rsidRPr="00EC0B05" w:rsidRDefault="00BE3A2A" w:rsidP="00BE3A2A">
            <w:pPr>
              <w:rPr>
                <w:w w:val="110"/>
                <w:sz w:val="21"/>
                <w:szCs w:val="21"/>
              </w:rPr>
            </w:pPr>
            <w:r>
              <w:rPr>
                <w:sz w:val="21"/>
                <w:szCs w:val="21"/>
              </w:rPr>
              <w:t>If mortgage brokers or correspondent lenders would like a replacement appraisal, the Appraisal Manager or designee for Axos Bank must approve doing so PRIOR TO ordering the replacement appraisal.</w:t>
            </w:r>
            <w:bookmarkStart w:id="7" w:name="_GoBack"/>
            <w:bookmarkEnd w:id="7"/>
          </w:p>
        </w:tc>
      </w:tr>
      <w:tr w:rsidR="00EC0B05" w:rsidRPr="00EC0B05" w14:paraId="376BA571" w14:textId="77777777" w:rsidTr="0063752F">
        <w:tc>
          <w:tcPr>
            <w:tcW w:w="1336" w:type="pct"/>
          </w:tcPr>
          <w:p w14:paraId="1AC6B51E" w14:textId="77777777" w:rsidR="000016AE" w:rsidRPr="00EC0B05" w:rsidRDefault="000016AE" w:rsidP="00471F7C">
            <w:pPr>
              <w:rPr>
                <w:b/>
                <w:w w:val="110"/>
                <w:sz w:val="21"/>
                <w:szCs w:val="21"/>
              </w:rPr>
            </w:pPr>
            <w:bookmarkStart w:id="8" w:name="asset_depletion"/>
            <w:r w:rsidRPr="00EC0B05">
              <w:rPr>
                <w:b/>
                <w:w w:val="110"/>
                <w:sz w:val="21"/>
                <w:szCs w:val="21"/>
              </w:rPr>
              <w:t>Asset Depletion</w:t>
            </w:r>
            <w:bookmarkEnd w:id="8"/>
          </w:p>
        </w:tc>
        <w:tc>
          <w:tcPr>
            <w:tcW w:w="3664" w:type="pct"/>
          </w:tcPr>
          <w:p w14:paraId="541EFE2A" w14:textId="77777777" w:rsidR="000016AE" w:rsidRPr="00EC0B05" w:rsidRDefault="000016AE" w:rsidP="00471F7C">
            <w:pPr>
              <w:autoSpaceDE w:val="0"/>
              <w:autoSpaceDN w:val="0"/>
              <w:adjustRightInd w:val="0"/>
              <w:contextualSpacing/>
              <w:rPr>
                <w:w w:val="110"/>
                <w:sz w:val="21"/>
                <w:szCs w:val="21"/>
              </w:rPr>
            </w:pPr>
            <w:r w:rsidRPr="00EC0B05">
              <w:rPr>
                <w:w w:val="110"/>
                <w:sz w:val="21"/>
                <w:szCs w:val="21"/>
              </w:rPr>
              <w:t xml:space="preserve">Asset Depletion is a method of calculating a monthly income stream based on a borrower’s assets.  Asset depletion can be utilized on any scenario, at any LTV, and with any product; however, asset depletion on loans to non-resident aliens </w:t>
            </w:r>
            <w:r w:rsidR="00DE4E74" w:rsidRPr="00EC0B05">
              <w:rPr>
                <w:w w:val="110"/>
                <w:sz w:val="21"/>
                <w:szCs w:val="21"/>
              </w:rPr>
              <w:t xml:space="preserve">require additional review.  </w:t>
            </w:r>
            <w:r w:rsidRPr="00EC0B05">
              <w:rPr>
                <w:w w:val="110"/>
                <w:sz w:val="21"/>
                <w:szCs w:val="21"/>
              </w:rPr>
              <w:t xml:space="preserve">   </w:t>
            </w:r>
          </w:p>
          <w:p w14:paraId="440968ED" w14:textId="77777777" w:rsidR="000016AE" w:rsidRPr="00EC0B05" w:rsidRDefault="000016AE" w:rsidP="00471F7C">
            <w:pPr>
              <w:autoSpaceDE w:val="0"/>
              <w:autoSpaceDN w:val="0"/>
              <w:adjustRightInd w:val="0"/>
              <w:contextualSpacing/>
              <w:rPr>
                <w:w w:val="110"/>
                <w:sz w:val="21"/>
                <w:szCs w:val="21"/>
              </w:rPr>
            </w:pPr>
          </w:p>
          <w:p w14:paraId="380B1381" w14:textId="77777777" w:rsidR="000016AE" w:rsidRPr="00EC0B05" w:rsidRDefault="000016AE" w:rsidP="00471F7C">
            <w:pPr>
              <w:autoSpaceDE w:val="0"/>
              <w:autoSpaceDN w:val="0"/>
              <w:adjustRightInd w:val="0"/>
              <w:contextualSpacing/>
              <w:rPr>
                <w:w w:val="110"/>
                <w:sz w:val="21"/>
                <w:szCs w:val="21"/>
              </w:rPr>
            </w:pPr>
            <w:r w:rsidRPr="00EC0B05">
              <w:rPr>
                <w:w w:val="110"/>
                <w:sz w:val="21"/>
                <w:szCs w:val="21"/>
              </w:rPr>
              <w:t xml:space="preserve">The Asset Depletion Calculation is based on the current value of the assets, amortized over 30 years or until the borrower turns </w:t>
            </w:r>
            <w:r w:rsidR="002415B0" w:rsidRPr="00EC0B05">
              <w:rPr>
                <w:w w:val="110"/>
                <w:sz w:val="21"/>
                <w:szCs w:val="21"/>
              </w:rPr>
              <w:t>85 with a minimum of 10 years.  For borrowers over the age of 85, a minimum of 5 years is applied.  The prevailing interest rate is used;</w:t>
            </w:r>
            <w:r w:rsidRPr="00EC0B05">
              <w:rPr>
                <w:w w:val="110"/>
                <w:sz w:val="21"/>
                <w:szCs w:val="21"/>
              </w:rPr>
              <w:t xml:space="preserve"> (currently using 5%). </w:t>
            </w:r>
            <w:bookmarkStart w:id="9" w:name="_Toc486323395"/>
            <w:bookmarkStart w:id="10" w:name="_Toc486323431"/>
          </w:p>
          <w:p w14:paraId="1BF819AD" w14:textId="77777777" w:rsidR="009B3322" w:rsidRPr="00EC0B05" w:rsidRDefault="000016AE" w:rsidP="00A8756A">
            <w:pPr>
              <w:pStyle w:val="ListParagraph"/>
              <w:numPr>
                <w:ilvl w:val="0"/>
                <w:numId w:val="26"/>
              </w:numPr>
              <w:ind w:left="702"/>
              <w:rPr>
                <w:w w:val="110"/>
                <w:sz w:val="21"/>
                <w:szCs w:val="21"/>
              </w:rPr>
            </w:pPr>
            <w:r w:rsidRPr="00EC0B05">
              <w:rPr>
                <w:w w:val="110"/>
                <w:sz w:val="21"/>
                <w:szCs w:val="21"/>
              </w:rPr>
              <w:t>Eligible asset</w:t>
            </w:r>
            <w:r w:rsidR="002415B0" w:rsidRPr="00EC0B05">
              <w:rPr>
                <w:w w:val="110"/>
                <w:sz w:val="21"/>
                <w:szCs w:val="21"/>
              </w:rPr>
              <w:t>s should be held in a U.S. Bank;</w:t>
            </w:r>
          </w:p>
          <w:p w14:paraId="17FDC536" w14:textId="77777777" w:rsidR="009B3322" w:rsidRPr="00EC0B05" w:rsidRDefault="009B3322" w:rsidP="00A8756A">
            <w:pPr>
              <w:pStyle w:val="ListParagraph"/>
              <w:numPr>
                <w:ilvl w:val="0"/>
                <w:numId w:val="26"/>
              </w:numPr>
              <w:ind w:left="702"/>
              <w:rPr>
                <w:w w:val="110"/>
                <w:sz w:val="21"/>
                <w:szCs w:val="21"/>
              </w:rPr>
            </w:pPr>
            <w:r w:rsidRPr="00EC0B05">
              <w:rPr>
                <w:w w:val="110"/>
                <w:sz w:val="21"/>
                <w:szCs w:val="21"/>
              </w:rPr>
              <w:t>A minimum of $500,000 must be available for asset depletion</w:t>
            </w:r>
            <w:r w:rsidR="002415B0" w:rsidRPr="00EC0B05">
              <w:rPr>
                <w:w w:val="110"/>
                <w:sz w:val="21"/>
                <w:szCs w:val="21"/>
              </w:rPr>
              <w:t>;</w:t>
            </w:r>
          </w:p>
          <w:p w14:paraId="7D836767" w14:textId="77777777" w:rsidR="002415B0" w:rsidRPr="00EC0B05" w:rsidRDefault="002415B0" w:rsidP="00A8756A">
            <w:pPr>
              <w:pStyle w:val="ListParagraph"/>
              <w:numPr>
                <w:ilvl w:val="0"/>
                <w:numId w:val="26"/>
              </w:numPr>
              <w:ind w:left="702"/>
              <w:rPr>
                <w:w w:val="110"/>
                <w:sz w:val="21"/>
                <w:szCs w:val="21"/>
              </w:rPr>
            </w:pPr>
            <w:r w:rsidRPr="00EC0B05">
              <w:rPr>
                <w:w w:val="110"/>
                <w:sz w:val="21"/>
                <w:szCs w:val="21"/>
              </w:rPr>
              <w:t>A minimum of 12 months PITIA in reserves is required;</w:t>
            </w:r>
          </w:p>
          <w:p w14:paraId="3522E2DD" w14:textId="77777777" w:rsidR="000016AE" w:rsidRPr="00EC0B05" w:rsidRDefault="000016AE" w:rsidP="00A8756A">
            <w:pPr>
              <w:pStyle w:val="ListParagraph"/>
              <w:numPr>
                <w:ilvl w:val="0"/>
                <w:numId w:val="25"/>
              </w:numPr>
              <w:ind w:left="702"/>
              <w:rPr>
                <w:w w:val="110"/>
                <w:sz w:val="21"/>
                <w:szCs w:val="21"/>
              </w:rPr>
            </w:pPr>
            <w:r w:rsidRPr="00EC0B05">
              <w:rPr>
                <w:w w:val="110"/>
                <w:sz w:val="21"/>
                <w:szCs w:val="21"/>
              </w:rPr>
              <w:t>Assets must be liquid;</w:t>
            </w:r>
          </w:p>
          <w:p w14:paraId="16660949" w14:textId="77777777" w:rsidR="000016AE" w:rsidRPr="00EC0B05" w:rsidRDefault="000016AE" w:rsidP="00A8756A">
            <w:pPr>
              <w:pStyle w:val="ListParagraph"/>
              <w:numPr>
                <w:ilvl w:val="0"/>
                <w:numId w:val="25"/>
              </w:numPr>
              <w:ind w:left="702"/>
              <w:rPr>
                <w:w w:val="110"/>
                <w:sz w:val="21"/>
                <w:szCs w:val="21"/>
              </w:rPr>
            </w:pPr>
            <w:r w:rsidRPr="00EC0B05">
              <w:rPr>
                <w:w w:val="110"/>
                <w:sz w:val="21"/>
                <w:szCs w:val="21"/>
              </w:rPr>
              <w:t>Annuities and privately held stock are not eligible;</w:t>
            </w:r>
          </w:p>
          <w:p w14:paraId="637EF68E" w14:textId="77777777" w:rsidR="009B3322" w:rsidRPr="00EC0B05" w:rsidRDefault="000016AE" w:rsidP="00A8756A">
            <w:pPr>
              <w:pStyle w:val="ListParagraph"/>
              <w:numPr>
                <w:ilvl w:val="0"/>
                <w:numId w:val="25"/>
              </w:numPr>
              <w:ind w:left="702"/>
              <w:rPr>
                <w:w w:val="110"/>
                <w:sz w:val="21"/>
                <w:szCs w:val="21"/>
              </w:rPr>
            </w:pPr>
            <w:r w:rsidRPr="00EC0B05">
              <w:rPr>
                <w:w w:val="110"/>
                <w:sz w:val="21"/>
                <w:szCs w:val="21"/>
              </w:rPr>
              <w:t xml:space="preserve">Cash-out from a refinance is not eligible for Asset Depletion </w:t>
            </w:r>
          </w:p>
          <w:p w14:paraId="18C598E7" w14:textId="7579865B" w:rsidR="000016AE" w:rsidRPr="00EC0B05" w:rsidRDefault="000016AE" w:rsidP="00A8756A">
            <w:pPr>
              <w:pStyle w:val="ListParagraph"/>
              <w:numPr>
                <w:ilvl w:val="0"/>
                <w:numId w:val="25"/>
              </w:numPr>
              <w:ind w:left="702"/>
              <w:rPr>
                <w:w w:val="110"/>
                <w:sz w:val="21"/>
                <w:szCs w:val="21"/>
              </w:rPr>
            </w:pPr>
            <w:r w:rsidRPr="00EC0B05">
              <w:rPr>
                <w:w w:val="110"/>
                <w:sz w:val="21"/>
                <w:szCs w:val="21"/>
              </w:rPr>
              <w:t>Retirement accounts are not eligible for depletion, unless the borrower is at least 59 1/2 years of age;</w:t>
            </w:r>
            <w:r w:rsidR="00B73766">
              <w:rPr>
                <w:w w:val="110"/>
                <w:sz w:val="21"/>
                <w:szCs w:val="21"/>
              </w:rPr>
              <w:t xml:space="preserve"> if the borrower meets the age requirement, then 100% of the current value of these assets may be used for depletion;</w:t>
            </w:r>
          </w:p>
          <w:p w14:paraId="6F879E4C" w14:textId="6B52FE94" w:rsidR="000016AE" w:rsidRDefault="000016AE" w:rsidP="00A8756A">
            <w:pPr>
              <w:pStyle w:val="ListParagraph"/>
              <w:numPr>
                <w:ilvl w:val="0"/>
                <w:numId w:val="25"/>
              </w:numPr>
              <w:ind w:left="702"/>
              <w:rPr>
                <w:w w:val="110"/>
                <w:sz w:val="21"/>
                <w:szCs w:val="21"/>
              </w:rPr>
            </w:pPr>
            <w:r w:rsidRPr="00EC0B05">
              <w:rPr>
                <w:w w:val="110"/>
                <w:sz w:val="21"/>
                <w:szCs w:val="21"/>
              </w:rPr>
              <w:t>Checking accounts, savings accounts, trust</w:t>
            </w:r>
            <w:r w:rsidR="007B0E48">
              <w:rPr>
                <w:w w:val="110"/>
                <w:sz w:val="21"/>
                <w:szCs w:val="21"/>
              </w:rPr>
              <w:t xml:space="preserve"> account</w:t>
            </w:r>
            <w:r w:rsidRPr="00EC0B05">
              <w:rPr>
                <w:w w:val="110"/>
                <w:sz w:val="21"/>
                <w:szCs w:val="21"/>
              </w:rPr>
              <w:t>s, CDs, cash value o</w:t>
            </w:r>
            <w:r w:rsidR="00B73766">
              <w:rPr>
                <w:w w:val="110"/>
                <w:sz w:val="21"/>
                <w:szCs w:val="21"/>
              </w:rPr>
              <w:t>f life insurance</w:t>
            </w:r>
            <w:r w:rsidR="007B0E48">
              <w:rPr>
                <w:w w:val="110"/>
                <w:sz w:val="21"/>
                <w:szCs w:val="21"/>
              </w:rPr>
              <w:t xml:space="preserve"> (in the borrower’s name or the name of the borrower’s </w:t>
            </w:r>
            <w:r w:rsidR="007B0E48">
              <w:rPr>
                <w:w w:val="110"/>
                <w:sz w:val="21"/>
                <w:szCs w:val="21"/>
              </w:rPr>
              <w:lastRenderedPageBreak/>
              <w:t>trust)</w:t>
            </w:r>
            <w:r w:rsidR="00B73766">
              <w:rPr>
                <w:w w:val="110"/>
                <w:sz w:val="21"/>
                <w:szCs w:val="21"/>
              </w:rPr>
              <w:t xml:space="preserve"> are eligible. </w:t>
            </w:r>
            <w:r w:rsidRPr="00EC0B05">
              <w:rPr>
                <w:w w:val="110"/>
                <w:sz w:val="21"/>
                <w:szCs w:val="21"/>
              </w:rPr>
              <w:t>100% of</w:t>
            </w:r>
            <w:r w:rsidR="00B73766">
              <w:rPr>
                <w:w w:val="110"/>
                <w:sz w:val="21"/>
                <w:szCs w:val="21"/>
              </w:rPr>
              <w:t xml:space="preserve"> the current value of these asset</w:t>
            </w:r>
            <w:r w:rsidRPr="00EC0B05">
              <w:rPr>
                <w:w w:val="110"/>
                <w:sz w:val="21"/>
                <w:szCs w:val="21"/>
              </w:rPr>
              <w:t>s may be used</w:t>
            </w:r>
            <w:r w:rsidR="00B73766">
              <w:rPr>
                <w:w w:val="110"/>
                <w:sz w:val="21"/>
                <w:szCs w:val="21"/>
              </w:rPr>
              <w:t xml:space="preserve"> for depletion</w:t>
            </w:r>
            <w:r w:rsidRPr="00EC0B05">
              <w:rPr>
                <w:w w:val="110"/>
                <w:sz w:val="21"/>
                <w:szCs w:val="21"/>
              </w:rPr>
              <w:t>;</w:t>
            </w:r>
          </w:p>
          <w:p w14:paraId="05FF606C" w14:textId="41749B82" w:rsidR="00686BCC" w:rsidRPr="00B87D67" w:rsidRDefault="00686BCC" w:rsidP="00A8756A">
            <w:pPr>
              <w:pStyle w:val="ListParagraph"/>
              <w:numPr>
                <w:ilvl w:val="0"/>
                <w:numId w:val="25"/>
              </w:numPr>
              <w:ind w:left="702"/>
              <w:rPr>
                <w:w w:val="110"/>
                <w:sz w:val="21"/>
                <w:szCs w:val="21"/>
              </w:rPr>
            </w:pPr>
            <w:r w:rsidRPr="00B87D67">
              <w:rPr>
                <w:w w:val="110"/>
                <w:sz w:val="21"/>
                <w:szCs w:val="21"/>
              </w:rPr>
              <w:t>Publicly Traded Stocks, Mutual Funds and Bonds are eligible.  75% of the current value of these assets may be used for asset depletion;</w:t>
            </w:r>
          </w:p>
          <w:p w14:paraId="40D0B548" w14:textId="77777777" w:rsidR="000016AE" w:rsidRPr="00EC0B05" w:rsidRDefault="002415B0" w:rsidP="00A8756A">
            <w:pPr>
              <w:pStyle w:val="ListParagraph"/>
              <w:numPr>
                <w:ilvl w:val="0"/>
                <w:numId w:val="25"/>
              </w:numPr>
              <w:ind w:left="702"/>
              <w:rPr>
                <w:w w:val="110"/>
                <w:sz w:val="21"/>
                <w:szCs w:val="21"/>
              </w:rPr>
            </w:pPr>
            <w:r w:rsidRPr="00EC0B05">
              <w:rPr>
                <w:w w:val="110"/>
                <w:sz w:val="21"/>
                <w:szCs w:val="21"/>
              </w:rPr>
              <w:t>Asset depletion may not be used if gift funds are present;</w:t>
            </w:r>
          </w:p>
          <w:p w14:paraId="21C765BF" w14:textId="77777777" w:rsidR="000016AE" w:rsidRPr="00EC0B05" w:rsidRDefault="000016AE" w:rsidP="00A8756A">
            <w:pPr>
              <w:pStyle w:val="ListParagraph"/>
              <w:numPr>
                <w:ilvl w:val="0"/>
                <w:numId w:val="25"/>
              </w:numPr>
              <w:ind w:left="702"/>
              <w:rPr>
                <w:w w:val="110"/>
                <w:sz w:val="21"/>
                <w:szCs w:val="21"/>
              </w:rPr>
            </w:pPr>
            <w:r w:rsidRPr="00EC0B05">
              <w:rPr>
                <w:w w:val="110"/>
                <w:sz w:val="21"/>
                <w:szCs w:val="21"/>
              </w:rPr>
              <w:t>Borrower must b</w:t>
            </w:r>
            <w:r w:rsidR="009B3322" w:rsidRPr="00EC0B05">
              <w:rPr>
                <w:w w:val="110"/>
                <w:sz w:val="21"/>
                <w:szCs w:val="21"/>
              </w:rPr>
              <w:t>e 100% owner of assets utilized</w:t>
            </w:r>
            <w:r w:rsidRPr="00EC0B05">
              <w:rPr>
                <w:w w:val="110"/>
                <w:sz w:val="21"/>
                <w:szCs w:val="21"/>
              </w:rPr>
              <w:t>;</w:t>
            </w:r>
          </w:p>
          <w:p w14:paraId="79971B03" w14:textId="7983845F" w:rsidR="000016AE" w:rsidRPr="00EC0B05" w:rsidRDefault="000016AE" w:rsidP="00A8756A">
            <w:pPr>
              <w:pStyle w:val="ListParagraph"/>
              <w:numPr>
                <w:ilvl w:val="0"/>
                <w:numId w:val="25"/>
              </w:numPr>
              <w:ind w:left="702"/>
              <w:rPr>
                <w:w w:val="110"/>
                <w:sz w:val="21"/>
                <w:szCs w:val="21"/>
              </w:rPr>
            </w:pPr>
            <w:r w:rsidRPr="00EC0B05">
              <w:rPr>
                <w:w w:val="110"/>
                <w:sz w:val="21"/>
                <w:szCs w:val="21"/>
              </w:rPr>
              <w:t xml:space="preserve">Business funds excluding assets in an operating account, may be utilized </w:t>
            </w:r>
            <w:r w:rsidR="009B3322" w:rsidRPr="00EC0B05">
              <w:rPr>
                <w:w w:val="110"/>
                <w:sz w:val="21"/>
                <w:szCs w:val="21"/>
              </w:rPr>
              <w:t>on an exception basis</w:t>
            </w:r>
            <w:r w:rsidRPr="00EC0B05">
              <w:rPr>
                <w:w w:val="110"/>
                <w:sz w:val="21"/>
                <w:szCs w:val="21"/>
              </w:rPr>
              <w:t>, if the borrower is 100% owner of the business and a</w:t>
            </w:r>
            <w:r w:rsidR="00D32A65">
              <w:rPr>
                <w:w w:val="110"/>
                <w:sz w:val="21"/>
                <w:szCs w:val="21"/>
              </w:rPr>
              <w:t xml:space="preserve"> </w:t>
            </w:r>
            <w:r w:rsidR="00026A1B">
              <w:rPr>
                <w:w w:val="110"/>
                <w:sz w:val="21"/>
                <w:szCs w:val="21"/>
              </w:rPr>
              <w:t>signed letter from a CPA, accountant, or financial officer at the business stating that the borrower is authorized to use the funds, and that doing so does not adversely affect the business should also be obtained</w:t>
            </w:r>
            <w:r w:rsidRPr="00EC0B05">
              <w:rPr>
                <w:w w:val="110"/>
                <w:sz w:val="21"/>
                <w:szCs w:val="21"/>
              </w:rPr>
              <w:t>;</w:t>
            </w:r>
          </w:p>
          <w:p w14:paraId="34F43EFF" w14:textId="77777777" w:rsidR="000016AE" w:rsidRPr="00EC0B05" w:rsidRDefault="000016AE" w:rsidP="00A8756A">
            <w:pPr>
              <w:pStyle w:val="ListParagraph"/>
              <w:numPr>
                <w:ilvl w:val="0"/>
                <w:numId w:val="25"/>
              </w:numPr>
              <w:ind w:left="702"/>
              <w:rPr>
                <w:w w:val="110"/>
                <w:sz w:val="21"/>
                <w:szCs w:val="21"/>
              </w:rPr>
            </w:pPr>
            <w:r w:rsidRPr="00EC0B05">
              <w:rPr>
                <w:w w:val="110"/>
                <w:sz w:val="21"/>
                <w:szCs w:val="21"/>
              </w:rPr>
              <w:t>For loans where asset depletion is the only source of qualifying income, further exploration of the borrower’s asset pattern is warranted; and</w:t>
            </w:r>
          </w:p>
          <w:p w14:paraId="61E25FD7" w14:textId="77777777" w:rsidR="000016AE" w:rsidRDefault="000016AE" w:rsidP="00A8756A">
            <w:pPr>
              <w:pStyle w:val="ListParagraph"/>
              <w:numPr>
                <w:ilvl w:val="0"/>
                <w:numId w:val="25"/>
              </w:numPr>
              <w:ind w:left="702"/>
              <w:rPr>
                <w:w w:val="110"/>
                <w:sz w:val="21"/>
                <w:szCs w:val="21"/>
              </w:rPr>
            </w:pPr>
            <w:r w:rsidRPr="00EC0B05">
              <w:rPr>
                <w:w w:val="110"/>
                <w:sz w:val="21"/>
                <w:szCs w:val="21"/>
              </w:rPr>
              <w:t>Assets currently being drawn on for monthly income in the form of monthly distributions, interest income, or dividend income can be utilized if the interest/dividend or other payment is not already being counted in the income calculation</w:t>
            </w:r>
            <w:bookmarkEnd w:id="9"/>
            <w:bookmarkEnd w:id="10"/>
            <w:r w:rsidRPr="00EC0B05">
              <w:rPr>
                <w:w w:val="110"/>
                <w:sz w:val="21"/>
                <w:szCs w:val="21"/>
              </w:rPr>
              <w:t>.</w:t>
            </w:r>
          </w:p>
          <w:p w14:paraId="19218EB0" w14:textId="07D8E3BB" w:rsidR="00FF781D" w:rsidRPr="00EC0B05" w:rsidRDefault="00FF781D" w:rsidP="00A8756A">
            <w:pPr>
              <w:pStyle w:val="ListParagraph"/>
              <w:numPr>
                <w:ilvl w:val="0"/>
                <w:numId w:val="25"/>
              </w:numPr>
              <w:ind w:left="702"/>
              <w:rPr>
                <w:w w:val="110"/>
                <w:sz w:val="21"/>
                <w:szCs w:val="21"/>
              </w:rPr>
            </w:pPr>
            <w:r>
              <w:rPr>
                <w:w w:val="110"/>
                <w:sz w:val="21"/>
                <w:szCs w:val="21"/>
              </w:rPr>
              <w:t>Monies replenished as part of a cash recapture transaction cannot be used for asset depletion</w:t>
            </w:r>
          </w:p>
        </w:tc>
      </w:tr>
      <w:tr w:rsidR="00EC0B05" w:rsidRPr="00EC0B05" w14:paraId="7333BFEC" w14:textId="77777777" w:rsidTr="0063752F">
        <w:tc>
          <w:tcPr>
            <w:tcW w:w="1336" w:type="pct"/>
          </w:tcPr>
          <w:p w14:paraId="37B6C009" w14:textId="77777777" w:rsidR="000016AE" w:rsidRPr="00EC0B05" w:rsidRDefault="000016AE" w:rsidP="00471F7C">
            <w:pPr>
              <w:rPr>
                <w:b/>
                <w:sz w:val="21"/>
                <w:szCs w:val="21"/>
              </w:rPr>
            </w:pPr>
            <w:bookmarkStart w:id="11" w:name="auth_user_accts"/>
            <w:r w:rsidRPr="00EC0B05">
              <w:rPr>
                <w:b/>
                <w:sz w:val="21"/>
                <w:szCs w:val="21"/>
              </w:rPr>
              <w:lastRenderedPageBreak/>
              <w:t>Authorized User Accounts</w:t>
            </w:r>
            <w:bookmarkEnd w:id="11"/>
          </w:p>
        </w:tc>
        <w:tc>
          <w:tcPr>
            <w:tcW w:w="3664" w:type="pct"/>
          </w:tcPr>
          <w:p w14:paraId="78F1E6E4" w14:textId="77777777" w:rsidR="000016AE" w:rsidRPr="00EC0B05" w:rsidRDefault="000016AE">
            <w:pPr>
              <w:contextualSpacing/>
              <w:rPr>
                <w:w w:val="110"/>
                <w:sz w:val="21"/>
                <w:szCs w:val="21"/>
              </w:rPr>
            </w:pPr>
            <w:r w:rsidRPr="00EC0B05">
              <w:rPr>
                <w:w w:val="110"/>
                <w:sz w:val="21"/>
                <w:szCs w:val="21"/>
              </w:rPr>
              <w:t>An authorized user is a person permitted by a credit account holder to use an account.  Typically, this facilitates a family member who is trying to manage and build credit for the first time.  Only accounts identified with either an Individual or Joint account indicator should be considered as part of the applicant’s credit history.</w:t>
            </w:r>
          </w:p>
        </w:tc>
      </w:tr>
      <w:tr w:rsidR="00EC0B05" w:rsidRPr="00EC0B05" w14:paraId="5A3D5473" w14:textId="77777777" w:rsidTr="0063752F">
        <w:trPr>
          <w:trHeight w:val="1592"/>
        </w:trPr>
        <w:tc>
          <w:tcPr>
            <w:tcW w:w="1336" w:type="pct"/>
          </w:tcPr>
          <w:p w14:paraId="2356ADC2" w14:textId="77777777" w:rsidR="000016AE" w:rsidRPr="00EC0B05" w:rsidRDefault="000016AE" w:rsidP="00471F7C">
            <w:pPr>
              <w:rPr>
                <w:b/>
                <w:sz w:val="21"/>
                <w:szCs w:val="21"/>
              </w:rPr>
            </w:pPr>
            <w:bookmarkStart w:id="12" w:name="auto_allowance"/>
            <w:r w:rsidRPr="00EC0B05">
              <w:rPr>
                <w:b/>
                <w:sz w:val="21"/>
                <w:szCs w:val="21"/>
              </w:rPr>
              <w:t>Auto Allowance</w:t>
            </w:r>
            <w:bookmarkEnd w:id="12"/>
          </w:p>
        </w:tc>
        <w:tc>
          <w:tcPr>
            <w:tcW w:w="3664" w:type="pct"/>
          </w:tcPr>
          <w:p w14:paraId="4F54AA0B" w14:textId="77777777" w:rsidR="000016AE" w:rsidRPr="00EC0B05" w:rsidRDefault="000016AE">
            <w:pPr>
              <w:pStyle w:val="Heading1"/>
              <w:spacing w:before="0"/>
              <w:contextualSpacing/>
              <w:rPr>
                <w:rFonts w:asciiTheme="minorHAnsi" w:eastAsiaTheme="minorHAnsi" w:hAnsiTheme="minorHAnsi" w:cstheme="minorBidi"/>
                <w:color w:val="auto"/>
                <w:w w:val="110"/>
                <w:sz w:val="21"/>
                <w:szCs w:val="21"/>
              </w:rPr>
            </w:pPr>
            <w:r w:rsidRPr="00EC0B05">
              <w:rPr>
                <w:rFonts w:asciiTheme="minorHAnsi" w:eastAsiaTheme="minorHAnsi" w:hAnsiTheme="minorHAnsi" w:cstheme="minorBidi"/>
                <w:color w:val="auto"/>
                <w:w w:val="110"/>
                <w:sz w:val="21"/>
                <w:szCs w:val="21"/>
              </w:rPr>
              <w:t>An auto allowance may be included as income, if the allowance is typical for the applicant’s occupation.  The auto allowance should be verified by the employer or shown on applicant’s federal income tax returns. Depreciation on the car may not be added back to income.</w:t>
            </w:r>
          </w:p>
          <w:p w14:paraId="7E0C352B" w14:textId="77777777" w:rsidR="000016AE" w:rsidRPr="00EC0B05" w:rsidRDefault="000016AE">
            <w:pPr>
              <w:contextualSpacing/>
              <w:rPr>
                <w:w w:val="110"/>
                <w:sz w:val="21"/>
                <w:szCs w:val="21"/>
              </w:rPr>
            </w:pPr>
          </w:p>
          <w:p w14:paraId="3560B645" w14:textId="77777777" w:rsidR="000016AE" w:rsidRPr="00EC0B05" w:rsidRDefault="000016AE">
            <w:pPr>
              <w:contextualSpacing/>
              <w:rPr>
                <w:w w:val="110"/>
                <w:sz w:val="21"/>
                <w:szCs w:val="21"/>
              </w:rPr>
            </w:pPr>
            <w:r w:rsidRPr="00EC0B05">
              <w:rPr>
                <w:w w:val="110"/>
                <w:sz w:val="21"/>
                <w:szCs w:val="21"/>
              </w:rPr>
              <w:t xml:space="preserve">The full amount of an auto allowance should be counted as income.  Any payment for a corresponding identified auto loan should be counted as a liability if applicable.  </w:t>
            </w:r>
          </w:p>
        </w:tc>
      </w:tr>
      <w:tr w:rsidR="00EC0B05" w:rsidRPr="00EC0B05" w14:paraId="5C4C3536" w14:textId="77777777" w:rsidTr="0063752F">
        <w:tc>
          <w:tcPr>
            <w:tcW w:w="1336" w:type="pct"/>
          </w:tcPr>
          <w:p w14:paraId="7DDDA261" w14:textId="77777777" w:rsidR="000016AE" w:rsidRPr="00EC0B05" w:rsidRDefault="000016AE" w:rsidP="00471F7C">
            <w:pPr>
              <w:rPr>
                <w:b/>
                <w:sz w:val="21"/>
                <w:szCs w:val="21"/>
                <w:highlight w:val="yellow"/>
              </w:rPr>
            </w:pPr>
            <w:bookmarkStart w:id="13" w:name="bankruptcy"/>
            <w:r w:rsidRPr="00EC0B05">
              <w:rPr>
                <w:b/>
                <w:sz w:val="21"/>
                <w:szCs w:val="21"/>
              </w:rPr>
              <w:t>Bankruptcy/Foreclosure/Short Sale</w:t>
            </w:r>
            <w:bookmarkEnd w:id="13"/>
          </w:p>
        </w:tc>
        <w:tc>
          <w:tcPr>
            <w:tcW w:w="3664" w:type="pct"/>
          </w:tcPr>
          <w:p w14:paraId="3AAB64F1" w14:textId="77777777" w:rsidR="000016AE" w:rsidRPr="00EC0B05" w:rsidRDefault="000016AE">
            <w:pPr>
              <w:tabs>
                <w:tab w:val="left" w:pos="2610"/>
                <w:tab w:val="left" w:pos="2790"/>
              </w:tabs>
              <w:contextualSpacing/>
              <w:rPr>
                <w:rFonts w:eastAsia="Times New Roman"/>
                <w:sz w:val="21"/>
                <w:szCs w:val="21"/>
              </w:rPr>
            </w:pPr>
            <w:r w:rsidRPr="00EC0B05">
              <w:rPr>
                <w:w w:val="110"/>
                <w:sz w:val="21"/>
                <w:szCs w:val="21"/>
              </w:rPr>
              <w:t>Generally, no bankruptcies, foreclosures, or short sales are preferred.  All submissions with histories of bankruptcies, short sale or foreclosures must be satisfactorily explained in writing by the Borrower.  In addition, a three-year history of re-established and clean credit since any bankruptcy discharge is required.   Extenuating circumstances may be reviewed.  These may include, but not limited to:  job loss, death of spouse, serious illness of the borrower or a family member, and job relocation. Current or prior foreclosures and short sales sh</w:t>
            </w:r>
            <w:r w:rsidR="00A32388" w:rsidRPr="00EC0B05">
              <w:rPr>
                <w:w w:val="110"/>
                <w:sz w:val="21"/>
                <w:szCs w:val="21"/>
              </w:rPr>
              <w:t>ould have been completed no less</w:t>
            </w:r>
            <w:r w:rsidRPr="00EC0B05">
              <w:rPr>
                <w:w w:val="110"/>
                <w:sz w:val="21"/>
                <w:szCs w:val="21"/>
              </w:rPr>
              <w:t xml:space="preserve"> than 3 years ago based on the borrower’s application date.</w:t>
            </w:r>
          </w:p>
        </w:tc>
      </w:tr>
      <w:tr w:rsidR="00EC0B05" w:rsidRPr="00EC0B05" w14:paraId="69F72A3D" w14:textId="77777777" w:rsidTr="0063752F">
        <w:tc>
          <w:tcPr>
            <w:tcW w:w="1336" w:type="pct"/>
          </w:tcPr>
          <w:p w14:paraId="72A23347" w14:textId="77777777" w:rsidR="000016AE" w:rsidRPr="0063752F" w:rsidRDefault="000016AE" w:rsidP="00471F7C">
            <w:pPr>
              <w:rPr>
                <w:b/>
                <w:sz w:val="21"/>
                <w:szCs w:val="21"/>
              </w:rPr>
            </w:pPr>
            <w:bookmarkStart w:id="14" w:name="bdti_calc"/>
            <w:r w:rsidRPr="0063752F">
              <w:rPr>
                <w:b/>
                <w:sz w:val="21"/>
                <w:szCs w:val="21"/>
              </w:rPr>
              <w:t>BDTI Calculation</w:t>
            </w:r>
            <w:bookmarkEnd w:id="14"/>
            <w:r w:rsidR="007B5B89" w:rsidRPr="0063752F">
              <w:rPr>
                <w:b/>
                <w:sz w:val="21"/>
                <w:szCs w:val="21"/>
              </w:rPr>
              <w:t>/Properties Pending Sale</w:t>
            </w:r>
          </w:p>
        </w:tc>
        <w:tc>
          <w:tcPr>
            <w:tcW w:w="3664" w:type="pct"/>
          </w:tcPr>
          <w:p w14:paraId="539622C1" w14:textId="77777777" w:rsidR="000016AE" w:rsidRPr="0063752F" w:rsidRDefault="000016AE">
            <w:pPr>
              <w:contextualSpacing/>
              <w:rPr>
                <w:w w:val="110"/>
                <w:sz w:val="21"/>
                <w:szCs w:val="21"/>
              </w:rPr>
            </w:pPr>
            <w:r w:rsidRPr="0063752F">
              <w:rPr>
                <w:w w:val="110"/>
                <w:sz w:val="21"/>
                <w:szCs w:val="21"/>
              </w:rPr>
              <w:t xml:space="preserve">Monthly payments reflected on the credit report (or other identifying sources,) and PITIA is utilized to calculate the back-end debt-to-income BDTI ratio.    </w:t>
            </w:r>
          </w:p>
          <w:p w14:paraId="41C0189C" w14:textId="77777777" w:rsidR="000016AE" w:rsidRPr="0063752F" w:rsidRDefault="000016AE">
            <w:pPr>
              <w:contextualSpacing/>
              <w:rPr>
                <w:w w:val="110"/>
                <w:sz w:val="21"/>
                <w:szCs w:val="21"/>
              </w:rPr>
            </w:pPr>
          </w:p>
          <w:p w14:paraId="017CF1FE" w14:textId="0B238B26" w:rsidR="00026A1B" w:rsidRPr="0063752F" w:rsidRDefault="00026A1B">
            <w:pPr>
              <w:contextualSpacing/>
              <w:rPr>
                <w:w w:val="110"/>
                <w:sz w:val="21"/>
                <w:szCs w:val="21"/>
              </w:rPr>
            </w:pPr>
            <w:r w:rsidRPr="0063752F">
              <w:rPr>
                <w:w w:val="110"/>
                <w:sz w:val="21"/>
                <w:szCs w:val="21"/>
              </w:rPr>
              <w:t xml:space="preserve">If no monthly payment is indicated on the credit report, or if other forms of verification are not provided, payments </w:t>
            </w:r>
            <w:r w:rsidR="003C2B48">
              <w:rPr>
                <w:w w:val="110"/>
                <w:sz w:val="21"/>
                <w:szCs w:val="21"/>
              </w:rPr>
              <w:t xml:space="preserve">the greater of </w:t>
            </w:r>
            <w:r w:rsidR="00666667">
              <w:rPr>
                <w:w w:val="110"/>
                <w:sz w:val="21"/>
                <w:szCs w:val="21"/>
              </w:rPr>
              <w:t xml:space="preserve">$10, or </w:t>
            </w:r>
            <w:r w:rsidRPr="0063752F">
              <w:rPr>
                <w:w w:val="110"/>
                <w:sz w:val="21"/>
                <w:szCs w:val="21"/>
              </w:rPr>
              <w:t>5% of the outstanding principal balance on the account will be projected</w:t>
            </w:r>
            <w:r w:rsidR="00727C08" w:rsidRPr="0063752F">
              <w:rPr>
                <w:w w:val="110"/>
                <w:sz w:val="21"/>
                <w:szCs w:val="21"/>
              </w:rPr>
              <w:t>.</w:t>
            </w:r>
          </w:p>
          <w:p w14:paraId="315C3E2B" w14:textId="77777777" w:rsidR="00026A1B" w:rsidRPr="0063752F" w:rsidRDefault="00026A1B">
            <w:pPr>
              <w:contextualSpacing/>
              <w:rPr>
                <w:w w:val="110"/>
                <w:sz w:val="21"/>
                <w:szCs w:val="21"/>
              </w:rPr>
            </w:pPr>
          </w:p>
          <w:p w14:paraId="60E221DB" w14:textId="77777777" w:rsidR="000016AE" w:rsidRDefault="000016AE">
            <w:pPr>
              <w:contextualSpacing/>
              <w:rPr>
                <w:w w:val="110"/>
                <w:sz w:val="21"/>
                <w:szCs w:val="21"/>
              </w:rPr>
            </w:pPr>
            <w:r w:rsidRPr="0063752F">
              <w:rPr>
                <w:w w:val="110"/>
                <w:sz w:val="21"/>
                <w:szCs w:val="21"/>
              </w:rPr>
              <w:t>If current primary</w:t>
            </w:r>
            <w:r w:rsidR="007B5B89" w:rsidRPr="0063752F">
              <w:rPr>
                <w:w w:val="110"/>
                <w:sz w:val="21"/>
                <w:szCs w:val="21"/>
              </w:rPr>
              <w:t xml:space="preserve">, investment or second home property </w:t>
            </w:r>
            <w:r w:rsidRPr="0063752F">
              <w:rPr>
                <w:w w:val="110"/>
                <w:sz w:val="21"/>
                <w:szCs w:val="21"/>
              </w:rPr>
              <w:t xml:space="preserve">is listed for sale but not sold, the payment can be excluded from the BDTI calculation with the following: Copy of current listing agreement as well as an additional six months of the listed </w:t>
            </w:r>
            <w:r w:rsidRPr="0063752F">
              <w:rPr>
                <w:w w:val="110"/>
                <w:sz w:val="21"/>
                <w:szCs w:val="21"/>
              </w:rPr>
              <w:lastRenderedPageBreak/>
              <w:t>property's underlying PITIA cash reserves (over and above loan program reserve requirements).  Additional reserves may be required depending on geographic area and marketing times.</w:t>
            </w:r>
          </w:p>
          <w:p w14:paraId="5E39C17F" w14:textId="77777777" w:rsidR="00562D79" w:rsidRDefault="00562D79">
            <w:pPr>
              <w:contextualSpacing/>
              <w:rPr>
                <w:w w:val="110"/>
                <w:sz w:val="21"/>
                <w:szCs w:val="21"/>
              </w:rPr>
            </w:pPr>
          </w:p>
          <w:p w14:paraId="3AC9C77F" w14:textId="52ABA455" w:rsidR="00562D79" w:rsidRPr="0063752F" w:rsidRDefault="00562D79">
            <w:pPr>
              <w:contextualSpacing/>
              <w:rPr>
                <w:w w:val="110"/>
                <w:sz w:val="21"/>
                <w:szCs w:val="21"/>
              </w:rPr>
            </w:pPr>
            <w:r>
              <w:rPr>
                <w:w w:val="110"/>
                <w:sz w:val="21"/>
                <w:szCs w:val="21"/>
              </w:rPr>
              <w:t>The maximum BDTI is 60% for loan amounts over $2 million</w:t>
            </w:r>
          </w:p>
        </w:tc>
      </w:tr>
      <w:tr w:rsidR="00EC0B05" w:rsidRPr="00EC0B05" w14:paraId="22E63C4D" w14:textId="77777777" w:rsidTr="0063752F">
        <w:tc>
          <w:tcPr>
            <w:tcW w:w="1336" w:type="pct"/>
          </w:tcPr>
          <w:p w14:paraId="4A1C5940" w14:textId="77777777" w:rsidR="000016AE" w:rsidRPr="00EC0B05" w:rsidRDefault="000016AE" w:rsidP="00471F7C">
            <w:pPr>
              <w:rPr>
                <w:b/>
                <w:w w:val="110"/>
                <w:sz w:val="21"/>
                <w:szCs w:val="21"/>
              </w:rPr>
            </w:pPr>
            <w:bookmarkStart w:id="15" w:name="boarder_income"/>
            <w:r w:rsidRPr="00EC0B05">
              <w:rPr>
                <w:b/>
                <w:w w:val="110"/>
                <w:sz w:val="21"/>
                <w:szCs w:val="21"/>
              </w:rPr>
              <w:lastRenderedPageBreak/>
              <w:t>Boarder Income</w:t>
            </w:r>
            <w:bookmarkEnd w:id="15"/>
          </w:p>
        </w:tc>
        <w:tc>
          <w:tcPr>
            <w:tcW w:w="3664" w:type="pct"/>
          </w:tcPr>
          <w:p w14:paraId="72300FEE" w14:textId="5D4D865B" w:rsidR="000016AE" w:rsidRPr="003074B2" w:rsidRDefault="000016AE" w:rsidP="003074B2">
            <w:pPr>
              <w:autoSpaceDE w:val="0"/>
              <w:autoSpaceDN w:val="0"/>
              <w:adjustRightInd w:val="0"/>
              <w:contextualSpacing/>
              <w:rPr>
                <w:w w:val="110"/>
                <w:sz w:val="21"/>
                <w:szCs w:val="21"/>
              </w:rPr>
            </w:pPr>
            <w:r w:rsidRPr="003074B2">
              <w:rPr>
                <w:w w:val="110"/>
                <w:sz w:val="21"/>
                <w:szCs w:val="21"/>
              </w:rPr>
              <w:t>When a borrower with disabilities receives rental income from a live-in personal assistant, whether or not that individual is a relative of the borrower, the rental payments can be considered as acceptable stable income in an amount up to 30% of the total gross income that is used to qualify the borrower for the mortgage loan. Personal assistants typically are paid by Medicaid Waiver funds and include room and board, from which rental payments are made to the borrowe</w:t>
            </w:r>
            <w:r w:rsidR="003074B2">
              <w:rPr>
                <w:w w:val="110"/>
                <w:sz w:val="21"/>
                <w:szCs w:val="21"/>
              </w:rPr>
              <w:t xml:space="preserve">r. </w:t>
            </w:r>
            <w:r w:rsidRPr="003074B2">
              <w:rPr>
                <w:w w:val="110"/>
                <w:sz w:val="21"/>
                <w:szCs w:val="21"/>
              </w:rPr>
              <w:t xml:space="preserve">Income is shown as rental income on the borrower’s most recent tax returns.  </w:t>
            </w:r>
          </w:p>
          <w:p w14:paraId="427800A5" w14:textId="77777777" w:rsidR="00DF202E" w:rsidRDefault="00DF202E" w:rsidP="00471F7C">
            <w:pPr>
              <w:autoSpaceDE w:val="0"/>
              <w:autoSpaceDN w:val="0"/>
              <w:adjustRightInd w:val="0"/>
              <w:rPr>
                <w:w w:val="110"/>
                <w:sz w:val="21"/>
                <w:szCs w:val="21"/>
              </w:rPr>
            </w:pPr>
          </w:p>
          <w:p w14:paraId="0721487B" w14:textId="63A0C890" w:rsidR="000016AE" w:rsidRPr="00EC0B05" w:rsidRDefault="00F45566">
            <w:pPr>
              <w:autoSpaceDE w:val="0"/>
              <w:autoSpaceDN w:val="0"/>
              <w:adjustRightInd w:val="0"/>
              <w:contextualSpacing/>
              <w:rPr>
                <w:w w:val="110"/>
                <w:sz w:val="21"/>
                <w:szCs w:val="21"/>
              </w:rPr>
            </w:pPr>
            <w:r>
              <w:rPr>
                <w:w w:val="110"/>
                <w:sz w:val="21"/>
                <w:szCs w:val="21"/>
              </w:rPr>
              <w:t>The two most recent years’ of the borrower’s individual tax returns must reflect receipt of the boarder income (usually reported on 1040 Schedule E).</w:t>
            </w:r>
            <w:r w:rsidR="000016AE" w:rsidRPr="00EC0B05">
              <w:rPr>
                <w:w w:val="110"/>
                <w:sz w:val="21"/>
                <w:szCs w:val="21"/>
              </w:rPr>
              <w:t xml:space="preserve"> </w:t>
            </w:r>
          </w:p>
        </w:tc>
      </w:tr>
      <w:tr w:rsidR="00EC0B05" w:rsidRPr="00EC0B05" w14:paraId="71DFB9AC" w14:textId="77777777" w:rsidTr="0063752F">
        <w:tc>
          <w:tcPr>
            <w:tcW w:w="1336" w:type="pct"/>
          </w:tcPr>
          <w:p w14:paraId="75A4107D" w14:textId="77777777" w:rsidR="000016AE" w:rsidRPr="00EC0B05" w:rsidRDefault="000016AE" w:rsidP="00471F7C">
            <w:pPr>
              <w:rPr>
                <w:b/>
                <w:w w:val="110"/>
                <w:sz w:val="21"/>
                <w:szCs w:val="21"/>
              </w:rPr>
            </w:pPr>
            <w:bookmarkStart w:id="16" w:name="borrower_elg"/>
            <w:r w:rsidRPr="00EC0B05">
              <w:rPr>
                <w:b/>
                <w:w w:val="110"/>
                <w:sz w:val="21"/>
                <w:szCs w:val="21"/>
              </w:rPr>
              <w:t>Borrower Eligibility</w:t>
            </w:r>
            <w:bookmarkEnd w:id="16"/>
          </w:p>
        </w:tc>
        <w:tc>
          <w:tcPr>
            <w:tcW w:w="3664" w:type="pct"/>
          </w:tcPr>
          <w:p w14:paraId="3219864B" w14:textId="77777777" w:rsidR="000016AE" w:rsidRPr="00EC0B05" w:rsidRDefault="000016AE" w:rsidP="00A8756A">
            <w:pPr>
              <w:pStyle w:val="ListParagraph"/>
              <w:numPr>
                <w:ilvl w:val="0"/>
                <w:numId w:val="20"/>
              </w:numPr>
              <w:rPr>
                <w:sz w:val="21"/>
                <w:szCs w:val="21"/>
              </w:rPr>
            </w:pPr>
            <w:r w:rsidRPr="00EC0B05">
              <w:rPr>
                <w:sz w:val="21"/>
                <w:szCs w:val="21"/>
              </w:rPr>
              <w:t>U.S. Citizen</w:t>
            </w:r>
          </w:p>
          <w:p w14:paraId="1841C0E4" w14:textId="77777777" w:rsidR="000016AE" w:rsidRPr="00EC0B05" w:rsidRDefault="000016AE" w:rsidP="00A8756A">
            <w:pPr>
              <w:pStyle w:val="ListParagraph"/>
              <w:numPr>
                <w:ilvl w:val="0"/>
                <w:numId w:val="20"/>
              </w:numPr>
              <w:rPr>
                <w:sz w:val="21"/>
                <w:szCs w:val="21"/>
              </w:rPr>
            </w:pPr>
            <w:r w:rsidRPr="00EC0B05">
              <w:rPr>
                <w:sz w:val="21"/>
                <w:szCs w:val="21"/>
              </w:rPr>
              <w:t>Permanent Resident Aliens – Resident Alien Card required</w:t>
            </w:r>
          </w:p>
          <w:p w14:paraId="2D91B5E8" w14:textId="77777777" w:rsidR="000016AE" w:rsidRPr="00EC0B05" w:rsidRDefault="000016AE" w:rsidP="00A8756A">
            <w:pPr>
              <w:pStyle w:val="ListParagraph"/>
              <w:numPr>
                <w:ilvl w:val="0"/>
                <w:numId w:val="20"/>
              </w:numPr>
              <w:rPr>
                <w:w w:val="110"/>
                <w:sz w:val="21"/>
                <w:szCs w:val="21"/>
              </w:rPr>
            </w:pPr>
            <w:r w:rsidRPr="00EC0B05">
              <w:rPr>
                <w:sz w:val="21"/>
                <w:szCs w:val="21"/>
              </w:rPr>
              <w:t>Non-Permanent Resident Alien – Visa or valid Passport required</w:t>
            </w:r>
          </w:p>
          <w:p w14:paraId="49FC5F45" w14:textId="77777777" w:rsidR="00586773" w:rsidRPr="00EC0B05" w:rsidRDefault="00586773">
            <w:pPr>
              <w:pStyle w:val="ListParagraph"/>
              <w:rPr>
                <w:w w:val="110"/>
                <w:sz w:val="21"/>
                <w:szCs w:val="21"/>
              </w:rPr>
            </w:pPr>
            <w:r w:rsidRPr="00EC0B05">
              <w:rPr>
                <w:sz w:val="21"/>
                <w:szCs w:val="21"/>
              </w:rPr>
              <w:t>These borrowers must meet Ability to Repay requirements.</w:t>
            </w:r>
          </w:p>
        </w:tc>
      </w:tr>
      <w:tr w:rsidR="00026A1B" w:rsidRPr="00EC0B05" w14:paraId="5B6708F9" w14:textId="77777777" w:rsidTr="0063752F">
        <w:tc>
          <w:tcPr>
            <w:tcW w:w="1336" w:type="pct"/>
          </w:tcPr>
          <w:p w14:paraId="2EE2F2FF" w14:textId="5E8689F8" w:rsidR="00026A1B" w:rsidRPr="00EC0B05" w:rsidRDefault="00026A1B" w:rsidP="00471F7C">
            <w:pPr>
              <w:rPr>
                <w:b/>
                <w:w w:val="110"/>
                <w:sz w:val="21"/>
                <w:szCs w:val="21"/>
              </w:rPr>
            </w:pPr>
            <w:bookmarkStart w:id="17" w:name="bridge_loans"/>
            <w:r>
              <w:rPr>
                <w:b/>
                <w:w w:val="110"/>
                <w:sz w:val="21"/>
                <w:szCs w:val="21"/>
              </w:rPr>
              <w:t>Bridge</w:t>
            </w:r>
            <w:r w:rsidR="002C6D41">
              <w:rPr>
                <w:b/>
                <w:w w:val="110"/>
                <w:sz w:val="21"/>
                <w:szCs w:val="21"/>
              </w:rPr>
              <w:t>-to-</w:t>
            </w:r>
            <w:r w:rsidR="00F722FA">
              <w:rPr>
                <w:b/>
                <w:w w:val="110"/>
                <w:sz w:val="21"/>
                <w:szCs w:val="21"/>
              </w:rPr>
              <w:t>Sale</w:t>
            </w:r>
            <w:r>
              <w:rPr>
                <w:b/>
                <w:w w:val="110"/>
                <w:sz w:val="21"/>
                <w:szCs w:val="21"/>
              </w:rPr>
              <w:t xml:space="preserve"> Loans</w:t>
            </w:r>
            <w:bookmarkEnd w:id="17"/>
          </w:p>
        </w:tc>
        <w:tc>
          <w:tcPr>
            <w:tcW w:w="3664" w:type="pct"/>
          </w:tcPr>
          <w:p w14:paraId="70EAFCF1" w14:textId="35F73AF8" w:rsidR="00485775" w:rsidRDefault="00026A1B">
            <w:pPr>
              <w:rPr>
                <w:sz w:val="21"/>
                <w:szCs w:val="21"/>
              </w:rPr>
            </w:pPr>
            <w:r w:rsidRPr="0063752F">
              <w:rPr>
                <w:sz w:val="21"/>
                <w:szCs w:val="21"/>
              </w:rPr>
              <w:t xml:space="preserve">Bridge </w:t>
            </w:r>
            <w:r w:rsidR="00F722FA">
              <w:rPr>
                <w:sz w:val="21"/>
                <w:szCs w:val="21"/>
              </w:rPr>
              <w:t xml:space="preserve">to Sale </w:t>
            </w:r>
            <w:r w:rsidRPr="0063752F">
              <w:rPr>
                <w:sz w:val="21"/>
                <w:szCs w:val="21"/>
              </w:rPr>
              <w:t>financing is available on loans made on owner-occupied, second home, or inve</w:t>
            </w:r>
            <w:r w:rsidR="002C6D41">
              <w:rPr>
                <w:sz w:val="21"/>
                <w:szCs w:val="21"/>
              </w:rPr>
              <w:t xml:space="preserve">stment 1-4 unit properties </w:t>
            </w:r>
            <w:r w:rsidRPr="0063752F">
              <w:rPr>
                <w:sz w:val="21"/>
                <w:szCs w:val="21"/>
              </w:rPr>
              <w:t>(no condominiums or cooperatives)</w:t>
            </w:r>
            <w:r w:rsidR="00485775">
              <w:rPr>
                <w:sz w:val="21"/>
                <w:szCs w:val="21"/>
              </w:rPr>
              <w:t xml:space="preserve"> in NON-JUDICIAL FORECLOSURE States</w:t>
            </w:r>
            <w:r w:rsidR="002C6D41">
              <w:rPr>
                <w:sz w:val="21"/>
                <w:szCs w:val="21"/>
              </w:rPr>
              <w:t xml:space="preserve"> ONLY</w:t>
            </w:r>
            <w:r w:rsidRPr="0063752F">
              <w:rPr>
                <w:sz w:val="21"/>
                <w:szCs w:val="21"/>
              </w:rPr>
              <w:t>.</w:t>
            </w:r>
          </w:p>
          <w:p w14:paraId="689DFDA7" w14:textId="77DC20E5" w:rsidR="002C6D41" w:rsidRDefault="002C6D41">
            <w:pPr>
              <w:rPr>
                <w:sz w:val="21"/>
                <w:szCs w:val="21"/>
              </w:rPr>
            </w:pPr>
          </w:p>
          <w:p w14:paraId="52E6F2BE" w14:textId="3603FAF9" w:rsidR="002C6D41" w:rsidRDefault="002C6D41">
            <w:pPr>
              <w:rPr>
                <w:sz w:val="21"/>
                <w:szCs w:val="21"/>
              </w:rPr>
            </w:pPr>
            <w:r>
              <w:rPr>
                <w:sz w:val="21"/>
                <w:szCs w:val="21"/>
              </w:rPr>
              <w:t>Properties listed in the following Judicial Foreclosure States are INELIGIBLE for the Bridge-to-Sale Loan Program:</w:t>
            </w:r>
          </w:p>
          <w:p w14:paraId="5390EFAF" w14:textId="79F468C8" w:rsidR="00026A1B" w:rsidRPr="00BA1193" w:rsidRDefault="002C6D41" w:rsidP="00BA1193">
            <w:pPr>
              <w:pStyle w:val="ListParagraph"/>
              <w:numPr>
                <w:ilvl w:val="0"/>
                <w:numId w:val="87"/>
              </w:numPr>
              <w:rPr>
                <w:sz w:val="21"/>
                <w:szCs w:val="21"/>
              </w:rPr>
            </w:pPr>
            <w:r>
              <w:rPr>
                <w:sz w:val="21"/>
                <w:szCs w:val="21"/>
                <w:u w:val="single"/>
              </w:rPr>
              <w:t>J</w:t>
            </w:r>
            <w:r w:rsidR="00485775">
              <w:rPr>
                <w:sz w:val="21"/>
                <w:szCs w:val="21"/>
                <w:u w:val="single"/>
              </w:rPr>
              <w:t>udicial Foreclosure States</w:t>
            </w:r>
            <w:r w:rsidR="00485775">
              <w:rPr>
                <w:sz w:val="21"/>
                <w:szCs w:val="21"/>
              </w:rPr>
              <w:t xml:space="preserve">: </w:t>
            </w:r>
            <w:r>
              <w:rPr>
                <w:sz w:val="21"/>
                <w:szCs w:val="21"/>
              </w:rPr>
              <w:t xml:space="preserve">Connecticut, Delaware, District of Columbia, Florida, Hawaii, Illinois, Indiana, Iowa, Kansas, Kentucky, Louisiana, Maine, New Jersey, New Mexico, New York, North Dakota, Ohio, Oklahoma, Pennsylvania, South Carolina, Vermont, Wisconsin. </w:t>
            </w:r>
            <w:r w:rsidR="00485775">
              <w:rPr>
                <w:sz w:val="21"/>
                <w:szCs w:val="21"/>
              </w:rPr>
              <w:t xml:space="preserve"> </w:t>
            </w:r>
          </w:p>
          <w:p w14:paraId="7A47FE9D" w14:textId="77777777" w:rsidR="00026A1B" w:rsidRPr="0063752F" w:rsidRDefault="00026A1B">
            <w:pPr>
              <w:rPr>
                <w:sz w:val="21"/>
                <w:szCs w:val="21"/>
              </w:rPr>
            </w:pPr>
          </w:p>
          <w:p w14:paraId="36FFB869" w14:textId="621A6618" w:rsidR="00026A1B" w:rsidRPr="0063752F" w:rsidRDefault="00026A1B">
            <w:pPr>
              <w:rPr>
                <w:sz w:val="21"/>
                <w:szCs w:val="21"/>
              </w:rPr>
            </w:pPr>
            <w:r w:rsidRPr="0063752F">
              <w:rPr>
                <w:sz w:val="21"/>
                <w:szCs w:val="21"/>
              </w:rPr>
              <w:t>Loan amounts of $</w:t>
            </w:r>
            <w:r w:rsidR="00F722FA">
              <w:rPr>
                <w:sz w:val="21"/>
                <w:szCs w:val="21"/>
              </w:rPr>
              <w:t>1,0</w:t>
            </w:r>
            <w:r w:rsidRPr="0063752F">
              <w:rPr>
                <w:sz w:val="21"/>
                <w:szCs w:val="21"/>
              </w:rPr>
              <w:t xml:space="preserve">00,000 up to a maximum 55% LTV are offered. The LTV is based on the LOWER of: (1) the appraised value of the subject, or (2) the lowest </w:t>
            </w:r>
            <w:r w:rsidR="001E6F56" w:rsidRPr="0063752F">
              <w:rPr>
                <w:sz w:val="21"/>
                <w:szCs w:val="21"/>
              </w:rPr>
              <w:t>list</w:t>
            </w:r>
            <w:r w:rsidRPr="0063752F">
              <w:rPr>
                <w:sz w:val="21"/>
                <w:szCs w:val="21"/>
              </w:rPr>
              <w:t xml:space="preserve"> price listed in the 12 months preceding the loan application date. Additional program details below:</w:t>
            </w:r>
          </w:p>
          <w:p w14:paraId="0B5252DD" w14:textId="77777777" w:rsidR="00026A1B" w:rsidRPr="0063752F" w:rsidRDefault="00026A1B">
            <w:pPr>
              <w:rPr>
                <w:sz w:val="21"/>
                <w:szCs w:val="21"/>
              </w:rPr>
            </w:pPr>
          </w:p>
          <w:p w14:paraId="70419D08" w14:textId="77777777" w:rsidR="00026A1B" w:rsidRPr="0063752F" w:rsidRDefault="00026A1B">
            <w:pPr>
              <w:rPr>
                <w:sz w:val="21"/>
                <w:szCs w:val="21"/>
              </w:rPr>
            </w:pPr>
            <w:r w:rsidRPr="0063752F">
              <w:rPr>
                <w:b/>
                <w:sz w:val="21"/>
                <w:szCs w:val="21"/>
              </w:rPr>
              <w:t>Loan Term / Renewal Option</w:t>
            </w:r>
          </w:p>
          <w:p w14:paraId="20323751" w14:textId="77777777" w:rsidR="00026A1B" w:rsidRPr="0063752F" w:rsidRDefault="00026A1B" w:rsidP="00A8756A">
            <w:pPr>
              <w:pStyle w:val="ListParagraph"/>
              <w:numPr>
                <w:ilvl w:val="0"/>
                <w:numId w:val="51"/>
              </w:numPr>
              <w:rPr>
                <w:sz w:val="21"/>
                <w:szCs w:val="21"/>
              </w:rPr>
            </w:pPr>
            <w:r w:rsidRPr="0063752F">
              <w:rPr>
                <w:sz w:val="21"/>
                <w:szCs w:val="21"/>
              </w:rPr>
              <w:t>1-year term with a renewable option</w:t>
            </w:r>
          </w:p>
          <w:p w14:paraId="4180D832" w14:textId="60857C00" w:rsidR="00026A1B" w:rsidRPr="0063752F" w:rsidRDefault="00026A1B" w:rsidP="00A8756A">
            <w:pPr>
              <w:pStyle w:val="ListParagraph"/>
              <w:numPr>
                <w:ilvl w:val="0"/>
                <w:numId w:val="51"/>
              </w:numPr>
              <w:rPr>
                <w:sz w:val="21"/>
                <w:szCs w:val="21"/>
              </w:rPr>
            </w:pPr>
            <w:r w:rsidRPr="0063752F">
              <w:rPr>
                <w:sz w:val="21"/>
                <w:szCs w:val="21"/>
              </w:rPr>
              <w:t xml:space="preserve">6-month renewal option available with a required 0.50% </w:t>
            </w:r>
            <w:r w:rsidR="00727C08" w:rsidRPr="0063752F">
              <w:rPr>
                <w:sz w:val="21"/>
                <w:szCs w:val="21"/>
              </w:rPr>
              <w:t xml:space="preserve">renewal </w:t>
            </w:r>
            <w:r w:rsidRPr="0063752F">
              <w:rPr>
                <w:sz w:val="21"/>
                <w:szCs w:val="21"/>
              </w:rPr>
              <w:t>fee</w:t>
            </w:r>
          </w:p>
          <w:p w14:paraId="06F2D1BB" w14:textId="7BF302E8" w:rsidR="00026A1B" w:rsidRPr="0063752F" w:rsidRDefault="00026A1B" w:rsidP="00A8756A">
            <w:pPr>
              <w:pStyle w:val="ListParagraph"/>
              <w:numPr>
                <w:ilvl w:val="0"/>
                <w:numId w:val="51"/>
              </w:numPr>
              <w:rPr>
                <w:sz w:val="21"/>
                <w:szCs w:val="21"/>
              </w:rPr>
            </w:pPr>
            <w:r w:rsidRPr="0063752F">
              <w:rPr>
                <w:sz w:val="21"/>
                <w:szCs w:val="21"/>
              </w:rPr>
              <w:t xml:space="preserve">An additional 6-month renewal option is available with another 0.50% </w:t>
            </w:r>
            <w:r w:rsidR="00727C08" w:rsidRPr="0063752F">
              <w:rPr>
                <w:sz w:val="21"/>
                <w:szCs w:val="21"/>
              </w:rPr>
              <w:t xml:space="preserve">renewal </w:t>
            </w:r>
            <w:r w:rsidRPr="0063752F">
              <w:rPr>
                <w:sz w:val="21"/>
                <w:szCs w:val="21"/>
              </w:rPr>
              <w:t>fee</w:t>
            </w:r>
          </w:p>
          <w:p w14:paraId="2C64A510" w14:textId="77777777" w:rsidR="00026A1B" w:rsidRPr="0063752F" w:rsidRDefault="00026A1B" w:rsidP="00A8756A">
            <w:pPr>
              <w:pStyle w:val="ListParagraph"/>
              <w:numPr>
                <w:ilvl w:val="0"/>
                <w:numId w:val="51"/>
              </w:numPr>
              <w:rPr>
                <w:sz w:val="21"/>
                <w:szCs w:val="21"/>
              </w:rPr>
            </w:pPr>
            <w:r w:rsidRPr="0063752F">
              <w:rPr>
                <w:sz w:val="21"/>
                <w:szCs w:val="21"/>
              </w:rPr>
              <w:t>Review fee of $500.00 is required at the time the renewal option(s) is/are requested</w:t>
            </w:r>
          </w:p>
          <w:p w14:paraId="66E0424C" w14:textId="77777777" w:rsidR="001E6F56" w:rsidRPr="0063752F" w:rsidRDefault="001E6F56">
            <w:pPr>
              <w:rPr>
                <w:sz w:val="21"/>
                <w:szCs w:val="21"/>
              </w:rPr>
            </w:pPr>
          </w:p>
          <w:p w14:paraId="6DB6E0E1" w14:textId="1BDDFF84" w:rsidR="001E6F56" w:rsidRPr="00471F7C" w:rsidRDefault="001E6F56" w:rsidP="00471F7C">
            <w:pPr>
              <w:rPr>
                <w:b/>
                <w:sz w:val="21"/>
                <w:szCs w:val="21"/>
              </w:rPr>
            </w:pPr>
            <w:r w:rsidRPr="00471F7C">
              <w:rPr>
                <w:b/>
                <w:sz w:val="21"/>
                <w:szCs w:val="21"/>
              </w:rPr>
              <w:t>Required Income Documentation</w:t>
            </w:r>
          </w:p>
          <w:p w14:paraId="2EA03476" w14:textId="7A1CC08C" w:rsidR="001E6F56" w:rsidRPr="00471F7C" w:rsidRDefault="00CD73F8" w:rsidP="00A8756A">
            <w:pPr>
              <w:pStyle w:val="ListParagraph"/>
              <w:numPr>
                <w:ilvl w:val="0"/>
                <w:numId w:val="60"/>
              </w:numPr>
              <w:rPr>
                <w:sz w:val="21"/>
                <w:szCs w:val="21"/>
              </w:rPr>
            </w:pPr>
            <w:r w:rsidRPr="00471F7C">
              <w:rPr>
                <w:sz w:val="21"/>
                <w:szCs w:val="21"/>
              </w:rPr>
              <w:t>2 years’ individual tax r</w:t>
            </w:r>
            <w:r w:rsidR="001E6F56" w:rsidRPr="00471F7C">
              <w:rPr>
                <w:sz w:val="21"/>
                <w:szCs w:val="21"/>
              </w:rPr>
              <w:t>eturns (K-1’s and Business Returns not required)</w:t>
            </w:r>
          </w:p>
          <w:p w14:paraId="2C1D1E25" w14:textId="77777777" w:rsidR="00026A1B" w:rsidRPr="0063752F" w:rsidRDefault="00026A1B">
            <w:pPr>
              <w:rPr>
                <w:sz w:val="21"/>
                <w:szCs w:val="21"/>
              </w:rPr>
            </w:pPr>
          </w:p>
          <w:p w14:paraId="741A4848" w14:textId="77777777" w:rsidR="00026A1B" w:rsidRPr="0063752F" w:rsidRDefault="00026A1B">
            <w:pPr>
              <w:rPr>
                <w:sz w:val="21"/>
                <w:szCs w:val="21"/>
              </w:rPr>
            </w:pPr>
            <w:r w:rsidRPr="0063752F">
              <w:rPr>
                <w:b/>
                <w:sz w:val="21"/>
                <w:szCs w:val="21"/>
              </w:rPr>
              <w:t>Borrower Requirements / Source of Repayment</w:t>
            </w:r>
          </w:p>
          <w:p w14:paraId="2F53E001" w14:textId="77777777" w:rsidR="00026A1B" w:rsidRPr="0063752F" w:rsidRDefault="00026A1B" w:rsidP="00A8756A">
            <w:pPr>
              <w:pStyle w:val="ListParagraph"/>
              <w:numPr>
                <w:ilvl w:val="0"/>
                <w:numId w:val="52"/>
              </w:numPr>
              <w:rPr>
                <w:sz w:val="21"/>
                <w:szCs w:val="21"/>
              </w:rPr>
            </w:pPr>
            <w:r w:rsidRPr="0063752F">
              <w:rPr>
                <w:sz w:val="21"/>
                <w:szCs w:val="21"/>
              </w:rPr>
              <w:t xml:space="preserve">Minimum credit mid-score 680 </w:t>
            </w:r>
          </w:p>
          <w:p w14:paraId="3FC544EE" w14:textId="77777777" w:rsidR="00026A1B" w:rsidRPr="0063752F" w:rsidRDefault="00026A1B" w:rsidP="00A8756A">
            <w:pPr>
              <w:pStyle w:val="ListParagraph"/>
              <w:numPr>
                <w:ilvl w:val="0"/>
                <w:numId w:val="52"/>
              </w:numPr>
              <w:rPr>
                <w:sz w:val="21"/>
                <w:szCs w:val="21"/>
              </w:rPr>
            </w:pPr>
            <w:r w:rsidRPr="0063752F">
              <w:rPr>
                <w:sz w:val="21"/>
                <w:szCs w:val="21"/>
              </w:rPr>
              <w:t>NRA borrowers are not eligible for this program</w:t>
            </w:r>
          </w:p>
          <w:p w14:paraId="0DF22BA4" w14:textId="1ACB7FD8" w:rsidR="00026A1B" w:rsidRPr="0063752F" w:rsidRDefault="00026A1B" w:rsidP="00A8756A">
            <w:pPr>
              <w:pStyle w:val="ListParagraph"/>
              <w:numPr>
                <w:ilvl w:val="0"/>
                <w:numId w:val="52"/>
              </w:numPr>
              <w:rPr>
                <w:sz w:val="21"/>
                <w:szCs w:val="21"/>
              </w:rPr>
            </w:pPr>
            <w:r w:rsidRPr="0063752F">
              <w:rPr>
                <w:sz w:val="21"/>
                <w:szCs w:val="21"/>
              </w:rPr>
              <w:t>Borrowers must provide a letter and proof of assets or income that will be used to make the 12 monthly payments</w:t>
            </w:r>
            <w:r w:rsidR="00F303AE">
              <w:rPr>
                <w:sz w:val="21"/>
                <w:szCs w:val="21"/>
              </w:rPr>
              <w:t>—NO NEGATIVE RATIOS ARE PERMITTED.</w:t>
            </w:r>
          </w:p>
          <w:p w14:paraId="1E80E981" w14:textId="77777777" w:rsidR="00026A1B" w:rsidRPr="0063752F" w:rsidRDefault="00026A1B" w:rsidP="00A8756A">
            <w:pPr>
              <w:pStyle w:val="ListParagraph"/>
              <w:numPr>
                <w:ilvl w:val="1"/>
                <w:numId w:val="52"/>
              </w:numPr>
              <w:rPr>
                <w:sz w:val="21"/>
                <w:szCs w:val="21"/>
              </w:rPr>
            </w:pPr>
            <w:r w:rsidRPr="0063752F">
              <w:rPr>
                <w:sz w:val="21"/>
                <w:szCs w:val="21"/>
              </w:rPr>
              <w:lastRenderedPageBreak/>
              <w:t>NOTE: cash proceeds from the loan may be used as a source of making the 12 monthly payments</w:t>
            </w:r>
          </w:p>
          <w:p w14:paraId="528AB2CF" w14:textId="77777777" w:rsidR="00026A1B" w:rsidRDefault="00026A1B">
            <w:pPr>
              <w:rPr>
                <w:sz w:val="21"/>
                <w:szCs w:val="21"/>
              </w:rPr>
            </w:pPr>
          </w:p>
          <w:p w14:paraId="553B5EBB" w14:textId="77777777" w:rsidR="00F303AE" w:rsidRDefault="00F303AE" w:rsidP="00F303AE">
            <w:pPr>
              <w:rPr>
                <w:sz w:val="21"/>
                <w:szCs w:val="21"/>
              </w:rPr>
            </w:pPr>
            <w:r>
              <w:rPr>
                <w:b/>
                <w:sz w:val="21"/>
                <w:szCs w:val="21"/>
              </w:rPr>
              <w:t>Interest Reserve Requirement</w:t>
            </w:r>
          </w:p>
          <w:p w14:paraId="61AE05EC" w14:textId="77777777" w:rsidR="00F303AE" w:rsidRPr="00FB1B2B" w:rsidRDefault="00F303AE" w:rsidP="00F303AE">
            <w:pPr>
              <w:pStyle w:val="ListParagraph"/>
              <w:numPr>
                <w:ilvl w:val="0"/>
                <w:numId w:val="81"/>
              </w:numPr>
              <w:rPr>
                <w:sz w:val="21"/>
                <w:szCs w:val="21"/>
              </w:rPr>
            </w:pPr>
            <w:r>
              <w:rPr>
                <w:sz w:val="21"/>
                <w:szCs w:val="21"/>
              </w:rPr>
              <w:t xml:space="preserve">Bridge-to-Sale loans require an interest account. The borrower must fund the account with 12 months-worth of the loan’s payments. </w:t>
            </w:r>
          </w:p>
          <w:p w14:paraId="4ED179D2" w14:textId="77777777" w:rsidR="00F303AE" w:rsidRPr="0063752F" w:rsidRDefault="00F303AE">
            <w:pPr>
              <w:rPr>
                <w:sz w:val="21"/>
                <w:szCs w:val="21"/>
              </w:rPr>
            </w:pPr>
          </w:p>
          <w:p w14:paraId="2DFA8AD7" w14:textId="77777777" w:rsidR="00026A1B" w:rsidRPr="0063752F" w:rsidRDefault="00026A1B">
            <w:pPr>
              <w:rPr>
                <w:b/>
                <w:sz w:val="21"/>
                <w:szCs w:val="21"/>
              </w:rPr>
            </w:pPr>
            <w:r w:rsidRPr="0063752F">
              <w:rPr>
                <w:b/>
                <w:sz w:val="21"/>
                <w:szCs w:val="21"/>
              </w:rPr>
              <w:t>Appraisal Requirements</w:t>
            </w:r>
          </w:p>
          <w:p w14:paraId="7FAD1333" w14:textId="77777777" w:rsidR="00026A1B" w:rsidRPr="0063752F" w:rsidRDefault="00026A1B" w:rsidP="00A8756A">
            <w:pPr>
              <w:pStyle w:val="ListParagraph"/>
              <w:numPr>
                <w:ilvl w:val="0"/>
                <w:numId w:val="53"/>
              </w:numPr>
              <w:rPr>
                <w:b/>
                <w:sz w:val="21"/>
                <w:szCs w:val="21"/>
              </w:rPr>
            </w:pPr>
            <w:r w:rsidRPr="0063752F">
              <w:rPr>
                <w:sz w:val="21"/>
                <w:szCs w:val="21"/>
              </w:rPr>
              <w:t>Loan amounts in excess of $1,000,000 require 2 appraisal reports.  One appraisal is ordered through an approved AMC; the second appraisal is engaged by the Residential Appraisal Manager</w:t>
            </w:r>
          </w:p>
          <w:p w14:paraId="31873DBD" w14:textId="77777777" w:rsidR="00026A1B" w:rsidRPr="0063752F" w:rsidRDefault="00026A1B" w:rsidP="00A8756A">
            <w:pPr>
              <w:pStyle w:val="ListParagraph"/>
              <w:numPr>
                <w:ilvl w:val="0"/>
                <w:numId w:val="53"/>
              </w:numPr>
              <w:rPr>
                <w:b/>
                <w:sz w:val="21"/>
                <w:szCs w:val="21"/>
              </w:rPr>
            </w:pPr>
            <w:r w:rsidRPr="0063752F">
              <w:rPr>
                <w:sz w:val="21"/>
                <w:szCs w:val="21"/>
              </w:rPr>
              <w:t>Rental surveys are required on ALL loans</w:t>
            </w:r>
          </w:p>
          <w:p w14:paraId="2C584697" w14:textId="77777777" w:rsidR="00026A1B" w:rsidRPr="0063752F" w:rsidRDefault="00026A1B">
            <w:pPr>
              <w:rPr>
                <w:b/>
                <w:sz w:val="21"/>
                <w:szCs w:val="21"/>
              </w:rPr>
            </w:pPr>
          </w:p>
          <w:p w14:paraId="5198DAE8" w14:textId="77777777" w:rsidR="00026A1B" w:rsidRPr="0063752F" w:rsidRDefault="00026A1B">
            <w:pPr>
              <w:rPr>
                <w:b/>
                <w:sz w:val="21"/>
                <w:szCs w:val="21"/>
              </w:rPr>
            </w:pPr>
            <w:r w:rsidRPr="0063752F">
              <w:rPr>
                <w:b/>
                <w:sz w:val="21"/>
                <w:szCs w:val="21"/>
              </w:rPr>
              <w:t xml:space="preserve">Listing Requirements </w:t>
            </w:r>
          </w:p>
          <w:p w14:paraId="7012DE21" w14:textId="77777777" w:rsidR="00026A1B" w:rsidRPr="0063752F" w:rsidRDefault="00026A1B" w:rsidP="00A8756A">
            <w:pPr>
              <w:pStyle w:val="ListParagraph"/>
              <w:numPr>
                <w:ilvl w:val="0"/>
                <w:numId w:val="54"/>
              </w:numPr>
              <w:rPr>
                <w:b/>
                <w:sz w:val="21"/>
                <w:szCs w:val="21"/>
              </w:rPr>
            </w:pPr>
            <w:r w:rsidRPr="0063752F">
              <w:rPr>
                <w:sz w:val="21"/>
                <w:szCs w:val="21"/>
              </w:rPr>
              <w:t>Average marketing time for the neighborhood should be reasonable</w:t>
            </w:r>
          </w:p>
          <w:p w14:paraId="1EE08EC1" w14:textId="76B214E8" w:rsidR="00026A1B" w:rsidRPr="0063752F" w:rsidRDefault="00727C08" w:rsidP="00A8756A">
            <w:pPr>
              <w:pStyle w:val="ListParagraph"/>
              <w:numPr>
                <w:ilvl w:val="0"/>
                <w:numId w:val="54"/>
              </w:numPr>
              <w:rPr>
                <w:b/>
                <w:sz w:val="21"/>
                <w:szCs w:val="21"/>
              </w:rPr>
            </w:pPr>
            <w:r w:rsidRPr="0063752F">
              <w:rPr>
                <w:sz w:val="21"/>
                <w:szCs w:val="21"/>
              </w:rPr>
              <w:t>Subject p</w:t>
            </w:r>
            <w:r w:rsidR="00026A1B" w:rsidRPr="0063752F">
              <w:rPr>
                <w:sz w:val="21"/>
                <w:szCs w:val="21"/>
              </w:rPr>
              <w:t>roperty must be listed</w:t>
            </w:r>
          </w:p>
          <w:p w14:paraId="27D131D8" w14:textId="77777777" w:rsidR="00026A1B" w:rsidRPr="0063752F" w:rsidRDefault="00026A1B">
            <w:pPr>
              <w:rPr>
                <w:b/>
                <w:sz w:val="21"/>
                <w:szCs w:val="21"/>
              </w:rPr>
            </w:pPr>
          </w:p>
          <w:p w14:paraId="1F71F9FF" w14:textId="77777777" w:rsidR="00026A1B" w:rsidRPr="0063752F" w:rsidRDefault="00026A1B">
            <w:pPr>
              <w:rPr>
                <w:b/>
                <w:sz w:val="21"/>
                <w:szCs w:val="21"/>
              </w:rPr>
            </w:pPr>
            <w:r w:rsidRPr="0063752F">
              <w:rPr>
                <w:b/>
                <w:sz w:val="21"/>
                <w:szCs w:val="21"/>
              </w:rPr>
              <w:t>Financing Options</w:t>
            </w:r>
          </w:p>
          <w:p w14:paraId="72906CE6" w14:textId="77777777" w:rsidR="00026A1B" w:rsidRPr="0063752F" w:rsidRDefault="00026A1B" w:rsidP="00A8756A">
            <w:pPr>
              <w:pStyle w:val="ListParagraph"/>
              <w:numPr>
                <w:ilvl w:val="0"/>
                <w:numId w:val="55"/>
              </w:numPr>
              <w:rPr>
                <w:b/>
                <w:sz w:val="21"/>
                <w:szCs w:val="21"/>
              </w:rPr>
            </w:pPr>
            <w:r w:rsidRPr="0063752F">
              <w:rPr>
                <w:sz w:val="21"/>
                <w:szCs w:val="21"/>
              </w:rPr>
              <w:t>Interest only</w:t>
            </w:r>
          </w:p>
          <w:p w14:paraId="29AE956A" w14:textId="77777777" w:rsidR="00026A1B" w:rsidRPr="0063752F" w:rsidRDefault="00026A1B" w:rsidP="00A8756A">
            <w:pPr>
              <w:pStyle w:val="ListParagraph"/>
              <w:numPr>
                <w:ilvl w:val="0"/>
                <w:numId w:val="55"/>
              </w:numPr>
              <w:rPr>
                <w:b/>
                <w:sz w:val="21"/>
                <w:szCs w:val="21"/>
              </w:rPr>
            </w:pPr>
            <w:r w:rsidRPr="0063752F">
              <w:rPr>
                <w:sz w:val="21"/>
                <w:szCs w:val="21"/>
              </w:rPr>
              <w:t>No subordinate financing</w:t>
            </w:r>
          </w:p>
          <w:p w14:paraId="29A6BFAD" w14:textId="77777777" w:rsidR="00026A1B" w:rsidRPr="0063752F" w:rsidRDefault="00026A1B" w:rsidP="00A8756A">
            <w:pPr>
              <w:pStyle w:val="ListParagraph"/>
              <w:numPr>
                <w:ilvl w:val="0"/>
                <w:numId w:val="55"/>
              </w:numPr>
              <w:rPr>
                <w:b/>
                <w:sz w:val="21"/>
                <w:szCs w:val="21"/>
              </w:rPr>
            </w:pPr>
            <w:r w:rsidRPr="0063752F">
              <w:rPr>
                <w:sz w:val="21"/>
                <w:szCs w:val="21"/>
              </w:rPr>
              <w:t>No cross collateral financing</w:t>
            </w:r>
          </w:p>
          <w:p w14:paraId="7D142437" w14:textId="77777777" w:rsidR="00026A1B" w:rsidRPr="0063752F" w:rsidRDefault="00026A1B">
            <w:pPr>
              <w:rPr>
                <w:b/>
                <w:sz w:val="21"/>
                <w:szCs w:val="21"/>
              </w:rPr>
            </w:pPr>
          </w:p>
          <w:p w14:paraId="05AC061F" w14:textId="77777777" w:rsidR="00026A1B" w:rsidRPr="0063752F" w:rsidRDefault="00026A1B">
            <w:pPr>
              <w:rPr>
                <w:b/>
                <w:sz w:val="21"/>
                <w:szCs w:val="21"/>
              </w:rPr>
            </w:pPr>
            <w:r w:rsidRPr="0063752F">
              <w:rPr>
                <w:b/>
                <w:sz w:val="21"/>
                <w:szCs w:val="21"/>
              </w:rPr>
              <w:t>Required Disclosures / Post-funding Documentation Collection</w:t>
            </w:r>
          </w:p>
          <w:p w14:paraId="33738D1C" w14:textId="77777777" w:rsidR="00026A1B" w:rsidRPr="0063752F" w:rsidRDefault="00026A1B" w:rsidP="00A8756A">
            <w:pPr>
              <w:pStyle w:val="ListParagraph"/>
              <w:numPr>
                <w:ilvl w:val="0"/>
                <w:numId w:val="56"/>
              </w:numPr>
              <w:rPr>
                <w:sz w:val="21"/>
                <w:szCs w:val="21"/>
              </w:rPr>
            </w:pPr>
            <w:r w:rsidRPr="0063752F">
              <w:rPr>
                <w:sz w:val="21"/>
                <w:szCs w:val="21"/>
              </w:rPr>
              <w:t>TRID disclosures, extension addendum</w:t>
            </w:r>
          </w:p>
          <w:p w14:paraId="72F92756" w14:textId="77777777" w:rsidR="00026A1B" w:rsidRPr="00026A1B" w:rsidRDefault="00026A1B" w:rsidP="00A8756A">
            <w:pPr>
              <w:pStyle w:val="ListParagraph"/>
              <w:numPr>
                <w:ilvl w:val="0"/>
                <w:numId w:val="56"/>
              </w:numPr>
              <w:rPr>
                <w:sz w:val="21"/>
                <w:szCs w:val="21"/>
              </w:rPr>
            </w:pPr>
            <w:r w:rsidRPr="0063752F">
              <w:rPr>
                <w:sz w:val="21"/>
                <w:szCs w:val="21"/>
              </w:rPr>
              <w:t>Bank to request updated financial information from the borrower at the time a renewal option is requested</w:t>
            </w:r>
          </w:p>
        </w:tc>
      </w:tr>
      <w:tr w:rsidR="00EC0B05" w:rsidRPr="00EC0B05" w14:paraId="25BBCBEB" w14:textId="77777777" w:rsidTr="0063752F">
        <w:tc>
          <w:tcPr>
            <w:tcW w:w="1336" w:type="pct"/>
          </w:tcPr>
          <w:p w14:paraId="1AD026AE" w14:textId="77777777" w:rsidR="000016AE" w:rsidRPr="00EC0B05" w:rsidRDefault="000016AE" w:rsidP="00471F7C">
            <w:pPr>
              <w:rPr>
                <w:b/>
                <w:sz w:val="21"/>
                <w:szCs w:val="21"/>
              </w:rPr>
            </w:pPr>
            <w:bookmarkStart w:id="18" w:name="bus_assets"/>
            <w:r w:rsidRPr="00EC0B05">
              <w:rPr>
                <w:b/>
                <w:sz w:val="21"/>
                <w:szCs w:val="21"/>
              </w:rPr>
              <w:lastRenderedPageBreak/>
              <w:t>Business Assets</w:t>
            </w:r>
            <w:bookmarkEnd w:id="18"/>
          </w:p>
        </w:tc>
        <w:tc>
          <w:tcPr>
            <w:tcW w:w="3664" w:type="pct"/>
          </w:tcPr>
          <w:p w14:paraId="3E689C1B" w14:textId="77777777" w:rsidR="000016AE" w:rsidRPr="00EC0B05" w:rsidRDefault="000016AE" w:rsidP="00471F7C">
            <w:pPr>
              <w:pStyle w:val="BodyText"/>
              <w:tabs>
                <w:tab w:val="left" w:pos="3014"/>
              </w:tabs>
              <w:kinsoku w:val="0"/>
              <w:overflowPunct w:val="0"/>
              <w:rPr>
                <w:rFonts w:asciiTheme="minorHAnsi" w:eastAsiaTheme="minorHAnsi" w:hAnsiTheme="minorHAnsi" w:cstheme="minorBidi"/>
              </w:rPr>
            </w:pPr>
            <w:r w:rsidRPr="00EC0B05">
              <w:rPr>
                <w:rFonts w:asciiTheme="minorHAnsi" w:eastAsiaTheme="minorHAnsi" w:hAnsiTheme="minorHAnsi" w:cstheme="minorBidi"/>
              </w:rPr>
              <w:t>Business assets may be acceptable sources of funds for the down payment, closing costs, and required reserves when a borrower is self-employed.  The following applies:</w:t>
            </w:r>
          </w:p>
          <w:p w14:paraId="4E3988CE" w14:textId="2DB86D38" w:rsidR="000016AE" w:rsidRPr="00EC0B05" w:rsidRDefault="000016AE" w:rsidP="00A8756A">
            <w:pPr>
              <w:pStyle w:val="BodyText"/>
              <w:numPr>
                <w:ilvl w:val="0"/>
                <w:numId w:val="11"/>
              </w:numPr>
              <w:tabs>
                <w:tab w:val="left" w:pos="3014"/>
              </w:tabs>
              <w:kinsoku w:val="0"/>
              <w:overflowPunct w:val="0"/>
              <w:ind w:left="702"/>
              <w:rPr>
                <w:rFonts w:asciiTheme="minorHAnsi" w:eastAsiaTheme="minorHAnsi" w:hAnsiTheme="minorHAnsi" w:cstheme="minorBidi"/>
              </w:rPr>
            </w:pPr>
            <w:r w:rsidRPr="00EC0B05">
              <w:rPr>
                <w:rFonts w:asciiTheme="minorHAnsi" w:eastAsiaTheme="minorHAnsi" w:hAnsiTheme="minorHAnsi" w:cstheme="minorBidi"/>
              </w:rPr>
              <w:t xml:space="preserve">The borrower </w:t>
            </w:r>
            <w:r w:rsidR="00B06FBA">
              <w:rPr>
                <w:rFonts w:asciiTheme="minorHAnsi" w:eastAsiaTheme="minorHAnsi" w:hAnsiTheme="minorHAnsi" w:cstheme="minorBidi"/>
              </w:rPr>
              <w:t>must be</w:t>
            </w:r>
            <w:r w:rsidRPr="00EC0B05">
              <w:rPr>
                <w:rFonts w:asciiTheme="minorHAnsi" w:eastAsiaTheme="minorHAnsi" w:hAnsiTheme="minorHAnsi" w:cstheme="minorBidi"/>
              </w:rPr>
              <w:t xml:space="preserve"> an owner of the account, which </w:t>
            </w:r>
            <w:r w:rsidR="00B06FBA">
              <w:rPr>
                <w:rFonts w:asciiTheme="minorHAnsi" w:eastAsiaTheme="minorHAnsi" w:hAnsiTheme="minorHAnsi" w:cstheme="minorBidi"/>
              </w:rPr>
              <w:t>must</w:t>
            </w:r>
            <w:r w:rsidRPr="00EC0B05">
              <w:rPr>
                <w:rFonts w:asciiTheme="minorHAnsi" w:eastAsiaTheme="minorHAnsi" w:hAnsiTheme="minorHAnsi" w:cstheme="minorBidi"/>
              </w:rPr>
              <w:t xml:space="preserve"> be verified</w:t>
            </w:r>
            <w:r w:rsidR="00B06FBA">
              <w:rPr>
                <w:rFonts w:asciiTheme="minorHAnsi" w:eastAsiaTheme="minorHAnsi" w:hAnsiTheme="minorHAnsi" w:cstheme="minorBidi"/>
              </w:rPr>
              <w:t xml:space="preserve"> by tax returns or other documentation</w:t>
            </w:r>
            <w:r w:rsidRPr="00EC0B05">
              <w:rPr>
                <w:rFonts w:asciiTheme="minorHAnsi" w:eastAsiaTheme="minorHAnsi" w:hAnsiTheme="minorHAnsi" w:cstheme="minorBidi"/>
              </w:rPr>
              <w:t xml:space="preserve">. </w:t>
            </w:r>
          </w:p>
          <w:p w14:paraId="10422E3D" w14:textId="77777777" w:rsidR="000016AE" w:rsidRPr="00EC0B05" w:rsidRDefault="000016AE" w:rsidP="00A8756A">
            <w:pPr>
              <w:pStyle w:val="BodyText"/>
              <w:numPr>
                <w:ilvl w:val="0"/>
                <w:numId w:val="11"/>
              </w:numPr>
              <w:tabs>
                <w:tab w:val="left" w:pos="3014"/>
              </w:tabs>
              <w:kinsoku w:val="0"/>
              <w:overflowPunct w:val="0"/>
              <w:ind w:left="702"/>
              <w:rPr>
                <w:rFonts w:asciiTheme="minorHAnsi" w:eastAsiaTheme="minorHAnsi" w:hAnsiTheme="minorHAnsi" w:cstheme="minorBidi"/>
              </w:rPr>
            </w:pPr>
            <w:r w:rsidRPr="00EC0B05">
              <w:rPr>
                <w:rFonts w:asciiTheme="minorHAnsi" w:eastAsiaTheme="minorHAnsi" w:hAnsiTheme="minorHAnsi" w:cstheme="minorBidi"/>
              </w:rPr>
              <w:t xml:space="preserve">The impact on the business should be considered to confirm that the withdrawal of funds for this transaction will not have a negative impact on the enterprise. </w:t>
            </w:r>
          </w:p>
          <w:p w14:paraId="55F4A71C" w14:textId="77777777" w:rsidR="000016AE" w:rsidRPr="00EC0B05" w:rsidRDefault="000016AE" w:rsidP="00A8756A">
            <w:pPr>
              <w:pStyle w:val="BodyText"/>
              <w:numPr>
                <w:ilvl w:val="0"/>
                <w:numId w:val="11"/>
              </w:numPr>
              <w:tabs>
                <w:tab w:val="left" w:pos="3014"/>
              </w:tabs>
              <w:kinsoku w:val="0"/>
              <w:overflowPunct w:val="0"/>
              <w:ind w:left="702"/>
              <w:rPr>
                <w:rFonts w:asciiTheme="minorHAnsi" w:hAnsiTheme="minorHAnsi"/>
              </w:rPr>
            </w:pPr>
            <w:r w:rsidRPr="00EC0B05">
              <w:rPr>
                <w:rFonts w:asciiTheme="minorHAnsi" w:eastAsiaTheme="minorHAnsi" w:hAnsiTheme="minorHAnsi" w:cstheme="minorBidi"/>
              </w:rPr>
              <w:t>The borrower should be at least 50% owner of the business and available assets will be limited to his/ her percentage of ownership in the business.</w:t>
            </w:r>
          </w:p>
        </w:tc>
      </w:tr>
      <w:tr w:rsidR="00EC0B05" w:rsidRPr="00EC0B05" w14:paraId="69F870C0" w14:textId="77777777" w:rsidTr="0063752F">
        <w:tc>
          <w:tcPr>
            <w:tcW w:w="1336" w:type="pct"/>
          </w:tcPr>
          <w:p w14:paraId="308ABBAE" w14:textId="77777777" w:rsidR="000016AE" w:rsidRPr="00EC0B05" w:rsidRDefault="000016AE" w:rsidP="00471F7C">
            <w:pPr>
              <w:rPr>
                <w:b/>
                <w:sz w:val="21"/>
                <w:szCs w:val="21"/>
              </w:rPr>
            </w:pPr>
            <w:bookmarkStart w:id="19" w:name="bus_debt"/>
            <w:r w:rsidRPr="00EC0B05">
              <w:rPr>
                <w:b/>
                <w:sz w:val="21"/>
                <w:szCs w:val="21"/>
              </w:rPr>
              <w:t>Business Debt in Borrower’s Name</w:t>
            </w:r>
            <w:bookmarkEnd w:id="19"/>
          </w:p>
        </w:tc>
        <w:tc>
          <w:tcPr>
            <w:tcW w:w="3664" w:type="pct"/>
          </w:tcPr>
          <w:p w14:paraId="554EDCB9" w14:textId="77777777" w:rsidR="000016AE" w:rsidRPr="00EC0B05" w:rsidRDefault="000016AE" w:rsidP="00471F7C">
            <w:pPr>
              <w:widowControl w:val="0"/>
              <w:ind w:right="223"/>
              <w:contextualSpacing/>
              <w:rPr>
                <w:w w:val="110"/>
                <w:sz w:val="21"/>
                <w:szCs w:val="21"/>
              </w:rPr>
            </w:pPr>
            <w:r w:rsidRPr="00EC0B05">
              <w:rPr>
                <w:w w:val="110"/>
                <w:sz w:val="21"/>
                <w:szCs w:val="21"/>
              </w:rPr>
              <w:t>When a self-employed borrower claims that a monthly obligation that appears on his or her personal credit report is being paid by the borrower’s business, it must be verified that the obligation was actually paid out of company funds and was considered in the cash flow analysis of the borrower’s business.</w:t>
            </w:r>
          </w:p>
          <w:p w14:paraId="4D768F3B" w14:textId="77777777" w:rsidR="000016AE" w:rsidRPr="00EC0B05" w:rsidRDefault="000016AE" w:rsidP="00471F7C">
            <w:pPr>
              <w:widowControl w:val="0"/>
              <w:ind w:right="270"/>
              <w:contextualSpacing/>
              <w:rPr>
                <w:w w:val="110"/>
                <w:sz w:val="21"/>
                <w:szCs w:val="21"/>
              </w:rPr>
            </w:pPr>
          </w:p>
          <w:p w14:paraId="5861A518" w14:textId="77777777" w:rsidR="000016AE" w:rsidRPr="00EC0B05" w:rsidRDefault="000016AE" w:rsidP="00471F7C">
            <w:pPr>
              <w:widowControl w:val="0"/>
              <w:ind w:right="270"/>
              <w:contextualSpacing/>
              <w:rPr>
                <w:w w:val="110"/>
                <w:sz w:val="21"/>
                <w:szCs w:val="21"/>
              </w:rPr>
            </w:pPr>
            <w:r w:rsidRPr="00EC0B05">
              <w:rPr>
                <w:w w:val="110"/>
                <w:sz w:val="21"/>
                <w:szCs w:val="21"/>
              </w:rPr>
              <w:t>The account payment does not need to be considered as part of the borrower’s individual recurring monthly debt obligations if:</w:t>
            </w:r>
          </w:p>
          <w:p w14:paraId="350781AE" w14:textId="77777777" w:rsidR="000016AE" w:rsidRPr="00EC0B05" w:rsidRDefault="002050F5" w:rsidP="00A8756A">
            <w:pPr>
              <w:pStyle w:val="ListParagraph"/>
              <w:numPr>
                <w:ilvl w:val="0"/>
                <w:numId w:val="27"/>
              </w:numPr>
              <w:ind w:left="702"/>
              <w:rPr>
                <w:w w:val="110"/>
                <w:sz w:val="21"/>
                <w:szCs w:val="21"/>
              </w:rPr>
            </w:pPr>
            <w:r>
              <w:rPr>
                <w:w w:val="110"/>
                <w:sz w:val="21"/>
                <w:szCs w:val="21"/>
              </w:rPr>
              <w:t>T</w:t>
            </w:r>
            <w:r w:rsidR="000016AE" w:rsidRPr="00EC0B05">
              <w:rPr>
                <w:w w:val="110"/>
                <w:sz w:val="21"/>
                <w:szCs w:val="21"/>
              </w:rPr>
              <w:t>he account in question does not have a history of delinquency;</w:t>
            </w:r>
          </w:p>
          <w:p w14:paraId="7C06C2A1" w14:textId="1742CAAD" w:rsidR="000016AE" w:rsidRPr="00EC0B05" w:rsidRDefault="002050F5" w:rsidP="00A8756A">
            <w:pPr>
              <w:pStyle w:val="ListParagraph"/>
              <w:numPr>
                <w:ilvl w:val="0"/>
                <w:numId w:val="27"/>
              </w:numPr>
              <w:ind w:left="702"/>
              <w:rPr>
                <w:w w:val="110"/>
                <w:sz w:val="21"/>
                <w:szCs w:val="21"/>
              </w:rPr>
            </w:pPr>
            <w:r>
              <w:rPr>
                <w:w w:val="110"/>
                <w:sz w:val="21"/>
                <w:szCs w:val="21"/>
              </w:rPr>
              <w:t>T</w:t>
            </w:r>
            <w:r w:rsidR="000016AE" w:rsidRPr="00EC0B05">
              <w:rPr>
                <w:w w:val="110"/>
                <w:sz w:val="21"/>
                <w:szCs w:val="21"/>
              </w:rPr>
              <w:t xml:space="preserve">he business provides acceptable evidence that the obligation was paid out of company funds (such as </w:t>
            </w:r>
            <w:r w:rsidR="001B720E">
              <w:rPr>
                <w:w w:val="110"/>
                <w:sz w:val="21"/>
                <w:szCs w:val="21"/>
              </w:rPr>
              <w:t>6</w:t>
            </w:r>
            <w:r w:rsidR="000016AE" w:rsidRPr="00EC0B05">
              <w:rPr>
                <w:w w:val="110"/>
                <w:sz w:val="21"/>
                <w:szCs w:val="21"/>
              </w:rPr>
              <w:t xml:space="preserve"> months of canceled company checks); and</w:t>
            </w:r>
          </w:p>
          <w:p w14:paraId="2A659333" w14:textId="77777777" w:rsidR="000016AE" w:rsidRPr="00EC0B05" w:rsidRDefault="000016AE" w:rsidP="00A8756A">
            <w:pPr>
              <w:pStyle w:val="ListParagraph"/>
              <w:numPr>
                <w:ilvl w:val="0"/>
                <w:numId w:val="27"/>
              </w:numPr>
              <w:ind w:left="702"/>
              <w:rPr>
                <w:w w:val="110"/>
                <w:sz w:val="21"/>
                <w:szCs w:val="21"/>
              </w:rPr>
            </w:pPr>
            <w:r w:rsidRPr="00EC0B05">
              <w:rPr>
                <w:w w:val="110"/>
                <w:sz w:val="21"/>
                <w:szCs w:val="21"/>
              </w:rPr>
              <w:t>The cash flow analysis of the business considered the obligation.</w:t>
            </w:r>
          </w:p>
          <w:p w14:paraId="15CCD6FC" w14:textId="77777777" w:rsidR="000016AE" w:rsidRPr="00EC0B05" w:rsidRDefault="000016AE" w:rsidP="00471F7C">
            <w:pPr>
              <w:pStyle w:val="ListParagraph"/>
              <w:ind w:left="2160"/>
              <w:rPr>
                <w:w w:val="110"/>
                <w:sz w:val="21"/>
                <w:szCs w:val="21"/>
              </w:rPr>
            </w:pPr>
          </w:p>
          <w:p w14:paraId="6E6031A6" w14:textId="77777777" w:rsidR="000016AE" w:rsidRPr="00EC0B05" w:rsidRDefault="000016AE" w:rsidP="00471F7C">
            <w:pPr>
              <w:widowControl w:val="0"/>
              <w:ind w:right="179"/>
              <w:contextualSpacing/>
              <w:rPr>
                <w:w w:val="110"/>
                <w:sz w:val="21"/>
                <w:szCs w:val="21"/>
              </w:rPr>
            </w:pPr>
            <w:r w:rsidRPr="00EC0B05">
              <w:rPr>
                <w:w w:val="110"/>
                <w:sz w:val="21"/>
                <w:szCs w:val="21"/>
              </w:rPr>
              <w:t>The account payment is part of the borrower’s individual recurring monthly debt obligations, if any of the following situations exists:</w:t>
            </w:r>
          </w:p>
          <w:p w14:paraId="7B5D9EAB" w14:textId="77777777" w:rsidR="000016AE" w:rsidRPr="00EC0B05" w:rsidRDefault="000016AE" w:rsidP="00A8756A">
            <w:pPr>
              <w:pStyle w:val="ListParagraph"/>
              <w:numPr>
                <w:ilvl w:val="0"/>
                <w:numId w:val="29"/>
              </w:numPr>
              <w:ind w:left="702"/>
              <w:rPr>
                <w:w w:val="110"/>
                <w:sz w:val="21"/>
                <w:szCs w:val="21"/>
              </w:rPr>
            </w:pPr>
            <w:r w:rsidRPr="00EC0B05">
              <w:rPr>
                <w:w w:val="110"/>
                <w:sz w:val="21"/>
                <w:szCs w:val="21"/>
              </w:rPr>
              <w:t>If the business does not provide sufficient evidence that the obligation was paid out of company funds;</w:t>
            </w:r>
          </w:p>
          <w:p w14:paraId="519CFF94" w14:textId="77777777" w:rsidR="000016AE" w:rsidRPr="00EC0B05" w:rsidRDefault="000016AE" w:rsidP="00A8756A">
            <w:pPr>
              <w:pStyle w:val="ListParagraph"/>
              <w:numPr>
                <w:ilvl w:val="0"/>
                <w:numId w:val="29"/>
              </w:numPr>
              <w:ind w:left="702"/>
              <w:rPr>
                <w:w w:val="110"/>
                <w:sz w:val="21"/>
                <w:szCs w:val="21"/>
              </w:rPr>
            </w:pPr>
            <w:r w:rsidRPr="00EC0B05">
              <w:rPr>
                <w:w w:val="110"/>
                <w:sz w:val="21"/>
                <w:szCs w:val="21"/>
              </w:rPr>
              <w:lastRenderedPageBreak/>
              <w:t>If the business provides acceptable evidence of its payment of the obligation, but the cash flow analysis of the business does not reflect any business expense related to the obligation (such as an interest expense—and taxes and insurance, if applicable—equal to or greater than the amount of interest that one would reasonably expect to see given the amount of financing shown on the credit report and the age of the loan).  It is reasonable to assume that the obligation has not been accounted for in the cash flow analysis; or</w:t>
            </w:r>
          </w:p>
          <w:p w14:paraId="0F05BB8B" w14:textId="77777777" w:rsidR="000016AE" w:rsidRPr="00EC0B05" w:rsidRDefault="000016AE" w:rsidP="00A8756A">
            <w:pPr>
              <w:pStyle w:val="ListParagraph"/>
              <w:numPr>
                <w:ilvl w:val="0"/>
                <w:numId w:val="29"/>
              </w:numPr>
              <w:ind w:left="702"/>
              <w:rPr>
                <w:w w:val="110"/>
                <w:sz w:val="21"/>
                <w:szCs w:val="21"/>
              </w:rPr>
            </w:pPr>
            <w:r w:rsidRPr="00EC0B05">
              <w:rPr>
                <w:w w:val="110"/>
                <w:sz w:val="21"/>
                <w:szCs w:val="21"/>
              </w:rPr>
              <w:t>If the account in question has a history of delinquency.  To ensure that the obligation is counted only once, adjust the net income of the business by the amount of interest, taxes, or insurance expense, if any, that relates to the account in question.</w:t>
            </w:r>
          </w:p>
        </w:tc>
      </w:tr>
      <w:tr w:rsidR="00EC0B05" w:rsidRPr="00EC0B05" w14:paraId="2E7715C9" w14:textId="77777777" w:rsidTr="0063752F">
        <w:tc>
          <w:tcPr>
            <w:tcW w:w="1336" w:type="pct"/>
          </w:tcPr>
          <w:p w14:paraId="7B0A6ADC" w14:textId="77777777" w:rsidR="002F2D35" w:rsidRPr="002050F5" w:rsidRDefault="002F2D35" w:rsidP="00471F7C">
            <w:pPr>
              <w:pStyle w:val="NoSpacing"/>
              <w:rPr>
                <w:b/>
                <w:sz w:val="21"/>
                <w:szCs w:val="21"/>
              </w:rPr>
            </w:pPr>
            <w:bookmarkStart w:id="20" w:name="cash_recapture"/>
            <w:r w:rsidRPr="002050F5">
              <w:rPr>
                <w:b/>
                <w:sz w:val="21"/>
                <w:szCs w:val="21"/>
              </w:rPr>
              <w:lastRenderedPageBreak/>
              <w:t>Cash Recapture</w:t>
            </w:r>
            <w:r w:rsidR="00FA43FC" w:rsidRPr="002050F5">
              <w:rPr>
                <w:b/>
                <w:sz w:val="21"/>
                <w:szCs w:val="21"/>
              </w:rPr>
              <w:t>/Delayed Financing</w:t>
            </w:r>
            <w:bookmarkEnd w:id="20"/>
          </w:p>
        </w:tc>
        <w:tc>
          <w:tcPr>
            <w:tcW w:w="3664" w:type="pct"/>
          </w:tcPr>
          <w:p w14:paraId="59B27674" w14:textId="3C2E4C82" w:rsidR="002F2D35" w:rsidRPr="00EC0B05" w:rsidRDefault="00F54397" w:rsidP="0080466B">
            <w:pPr>
              <w:rPr>
                <w:sz w:val="21"/>
                <w:szCs w:val="21"/>
              </w:rPr>
            </w:pPr>
            <w:r w:rsidRPr="00EC0B05">
              <w:rPr>
                <w:sz w:val="21"/>
                <w:szCs w:val="21"/>
              </w:rPr>
              <w:t xml:space="preserve">Loan used for the purpose of recapturing funds used to purchase a property acquired, or pay off a loan obtained to acquire the property, within 12 months of the date </w:t>
            </w:r>
            <w:r w:rsidR="0080466B">
              <w:rPr>
                <w:sz w:val="21"/>
                <w:szCs w:val="21"/>
              </w:rPr>
              <w:t>Axos</w:t>
            </w:r>
            <w:r w:rsidRPr="00EC0B05">
              <w:rPr>
                <w:sz w:val="21"/>
                <w:szCs w:val="21"/>
              </w:rPr>
              <w:t xml:space="preserve"> receives the loan application, may use purchase loan to value ratio guidelines.  The source of down payment documentation is required.  The lesser of the sales price or appraised value is used.  </w:t>
            </w:r>
          </w:p>
        </w:tc>
      </w:tr>
      <w:tr w:rsidR="00EC0B05" w:rsidRPr="00EC0B05" w14:paraId="65EEB39D" w14:textId="77777777" w:rsidTr="0063752F">
        <w:tc>
          <w:tcPr>
            <w:tcW w:w="1336" w:type="pct"/>
          </w:tcPr>
          <w:p w14:paraId="298B8B19" w14:textId="77777777" w:rsidR="00970B7D" w:rsidRPr="002050F5" w:rsidRDefault="00970B7D" w:rsidP="00471F7C">
            <w:pPr>
              <w:pStyle w:val="NoSpacing"/>
              <w:rPr>
                <w:b/>
                <w:sz w:val="21"/>
                <w:szCs w:val="21"/>
              </w:rPr>
            </w:pPr>
            <w:bookmarkStart w:id="21" w:name="CEMA"/>
            <w:r w:rsidRPr="002050F5">
              <w:rPr>
                <w:b/>
                <w:sz w:val="21"/>
                <w:szCs w:val="21"/>
              </w:rPr>
              <w:t>CEMA</w:t>
            </w:r>
            <w:bookmarkEnd w:id="21"/>
          </w:p>
        </w:tc>
        <w:tc>
          <w:tcPr>
            <w:tcW w:w="3664" w:type="pct"/>
          </w:tcPr>
          <w:p w14:paraId="69641812" w14:textId="77777777" w:rsidR="00B97F0F" w:rsidRPr="00EC0B05" w:rsidRDefault="00B97F0F" w:rsidP="00A8756A">
            <w:pPr>
              <w:numPr>
                <w:ilvl w:val="0"/>
                <w:numId w:val="44"/>
              </w:numPr>
              <w:tabs>
                <w:tab w:val="clear" w:pos="360"/>
              </w:tabs>
              <w:ind w:left="702"/>
              <w:rPr>
                <w:sz w:val="21"/>
                <w:szCs w:val="21"/>
              </w:rPr>
            </w:pPr>
            <w:r w:rsidRPr="00EC0B05">
              <w:rPr>
                <w:sz w:val="21"/>
                <w:szCs w:val="21"/>
              </w:rPr>
              <w:t xml:space="preserve">Provide copies of all </w:t>
            </w:r>
            <w:r w:rsidR="00B93325" w:rsidRPr="00EC0B05">
              <w:rPr>
                <w:sz w:val="21"/>
                <w:szCs w:val="21"/>
              </w:rPr>
              <w:t>original prior notes (and GAP notes).</w:t>
            </w:r>
            <w:r w:rsidR="00A7449A" w:rsidRPr="00EC0B05">
              <w:rPr>
                <w:sz w:val="21"/>
                <w:szCs w:val="21"/>
              </w:rPr>
              <w:t xml:space="preserve"> </w:t>
            </w:r>
            <w:r w:rsidRPr="00EC0B05">
              <w:rPr>
                <w:sz w:val="21"/>
                <w:szCs w:val="21"/>
              </w:rPr>
              <w:t>Los</w:t>
            </w:r>
            <w:r w:rsidR="00A7449A" w:rsidRPr="00EC0B05">
              <w:rPr>
                <w:sz w:val="21"/>
                <w:szCs w:val="21"/>
              </w:rPr>
              <w:t xml:space="preserve">t note affidavits are accepted </w:t>
            </w:r>
            <w:r w:rsidRPr="00EC0B05">
              <w:rPr>
                <w:sz w:val="21"/>
                <w:szCs w:val="21"/>
              </w:rPr>
              <w:t>on a case by case basis.</w:t>
            </w:r>
          </w:p>
          <w:p w14:paraId="3FFC4A26" w14:textId="77777777" w:rsidR="00B97F0F" w:rsidRPr="00EC0B05" w:rsidRDefault="00B97F0F" w:rsidP="00A8756A">
            <w:pPr>
              <w:numPr>
                <w:ilvl w:val="0"/>
                <w:numId w:val="44"/>
              </w:numPr>
              <w:tabs>
                <w:tab w:val="clear" w:pos="360"/>
              </w:tabs>
              <w:ind w:left="702"/>
              <w:rPr>
                <w:sz w:val="21"/>
                <w:szCs w:val="21"/>
              </w:rPr>
            </w:pPr>
            <w:r w:rsidRPr="00EC0B05">
              <w:rPr>
                <w:sz w:val="21"/>
                <w:szCs w:val="21"/>
              </w:rPr>
              <w:t xml:space="preserve">Confirm </w:t>
            </w:r>
            <w:r w:rsidR="003225C7" w:rsidRPr="00EC0B05">
              <w:rPr>
                <w:sz w:val="21"/>
                <w:szCs w:val="21"/>
              </w:rPr>
              <w:t>n</w:t>
            </w:r>
            <w:r w:rsidRPr="00EC0B05">
              <w:rPr>
                <w:sz w:val="21"/>
                <w:szCs w:val="21"/>
              </w:rPr>
              <w:t>ew money amount with Closing Attorney</w:t>
            </w:r>
          </w:p>
          <w:p w14:paraId="4CB564F4" w14:textId="77777777" w:rsidR="00970B7D" w:rsidRPr="00EC0B05" w:rsidRDefault="00B93325" w:rsidP="00A8756A">
            <w:pPr>
              <w:numPr>
                <w:ilvl w:val="0"/>
                <w:numId w:val="44"/>
              </w:numPr>
              <w:tabs>
                <w:tab w:val="clear" w:pos="360"/>
              </w:tabs>
              <w:ind w:left="702"/>
              <w:rPr>
                <w:w w:val="110"/>
                <w:sz w:val="21"/>
                <w:szCs w:val="21"/>
              </w:rPr>
            </w:pPr>
            <w:r w:rsidRPr="00EC0B05">
              <w:rPr>
                <w:sz w:val="21"/>
                <w:szCs w:val="21"/>
              </w:rPr>
              <w:t>Exhibit A must list all Notes, Security instruments, assignments that modify, consolidate or extend prior underlying obligations and which predate the CEMA</w:t>
            </w:r>
          </w:p>
        </w:tc>
      </w:tr>
      <w:tr w:rsidR="00EC0B05" w:rsidRPr="00EC0B05" w14:paraId="3DCE9E9A" w14:textId="77777777" w:rsidTr="0063752F">
        <w:tc>
          <w:tcPr>
            <w:tcW w:w="1336" w:type="pct"/>
          </w:tcPr>
          <w:p w14:paraId="116D791C" w14:textId="77777777" w:rsidR="000016AE" w:rsidRPr="002050F5" w:rsidRDefault="000016AE" w:rsidP="00471F7C">
            <w:pPr>
              <w:rPr>
                <w:b/>
                <w:w w:val="110"/>
                <w:sz w:val="21"/>
                <w:szCs w:val="21"/>
              </w:rPr>
            </w:pPr>
            <w:bookmarkStart w:id="22" w:name="cap_gains"/>
            <w:r w:rsidRPr="002050F5">
              <w:rPr>
                <w:b/>
                <w:w w:val="110"/>
                <w:sz w:val="21"/>
                <w:szCs w:val="21"/>
              </w:rPr>
              <w:t>Capital Gains</w:t>
            </w:r>
            <w:bookmarkEnd w:id="22"/>
          </w:p>
        </w:tc>
        <w:tc>
          <w:tcPr>
            <w:tcW w:w="3664" w:type="pct"/>
          </w:tcPr>
          <w:p w14:paraId="431737B9" w14:textId="205C40D1" w:rsidR="001B307F" w:rsidRDefault="000016AE">
            <w:pPr>
              <w:contextualSpacing/>
              <w:rPr>
                <w:w w:val="110"/>
                <w:sz w:val="21"/>
                <w:szCs w:val="21"/>
              </w:rPr>
            </w:pPr>
            <w:r w:rsidRPr="00EC0B05">
              <w:rPr>
                <w:w w:val="110"/>
                <w:sz w:val="21"/>
                <w:szCs w:val="21"/>
              </w:rPr>
              <w:t>Borrowers whose income is generated primarily through real estate investments, or the sale of other assets that are claimed on Schedule D of the Federal Income Tax Return (form 1040), must</w:t>
            </w:r>
            <w:r w:rsidR="00C35382">
              <w:rPr>
                <w:w w:val="110"/>
                <w:sz w:val="21"/>
                <w:szCs w:val="21"/>
              </w:rPr>
              <w:t xml:space="preserve"> demonstrate a </w:t>
            </w:r>
            <w:r w:rsidRPr="00EC0B05">
              <w:rPr>
                <w:w w:val="110"/>
                <w:sz w:val="21"/>
                <w:szCs w:val="21"/>
              </w:rPr>
              <w:t>two</w:t>
            </w:r>
            <w:r w:rsidR="00C35382">
              <w:rPr>
                <w:w w:val="110"/>
                <w:sz w:val="21"/>
                <w:szCs w:val="21"/>
              </w:rPr>
              <w:t>-</w:t>
            </w:r>
            <w:r w:rsidRPr="00EC0B05">
              <w:rPr>
                <w:w w:val="110"/>
                <w:sz w:val="21"/>
                <w:szCs w:val="21"/>
              </w:rPr>
              <w:t>year</w:t>
            </w:r>
            <w:r w:rsidR="00C35382">
              <w:rPr>
                <w:w w:val="110"/>
                <w:sz w:val="21"/>
                <w:szCs w:val="21"/>
              </w:rPr>
              <w:t xml:space="preserve"> history of receipt on their</w:t>
            </w:r>
            <w:r w:rsidRPr="00EC0B05">
              <w:rPr>
                <w:w w:val="110"/>
                <w:sz w:val="21"/>
                <w:szCs w:val="21"/>
              </w:rPr>
              <w:t xml:space="preserve"> tax returns.</w:t>
            </w:r>
            <w:r w:rsidR="00772018">
              <w:rPr>
                <w:w w:val="110"/>
                <w:sz w:val="21"/>
                <w:szCs w:val="21"/>
              </w:rPr>
              <w:t xml:space="preserve">  </w:t>
            </w:r>
            <w:r w:rsidRPr="00EC0B05">
              <w:rPr>
                <w:w w:val="110"/>
                <w:sz w:val="21"/>
                <w:szCs w:val="21"/>
              </w:rPr>
              <w:t>The borrower must also have sufficient assets to support the continuity of capital gain income.  Generally, a 24-month aver</w:t>
            </w:r>
            <w:r w:rsidR="00C35382">
              <w:rPr>
                <w:w w:val="110"/>
                <w:sz w:val="21"/>
                <w:szCs w:val="21"/>
              </w:rPr>
              <w:t xml:space="preserve">age of the income is utilized. </w:t>
            </w:r>
          </w:p>
          <w:p w14:paraId="55A4945D" w14:textId="77777777" w:rsidR="001B307F" w:rsidRDefault="001B307F">
            <w:pPr>
              <w:contextualSpacing/>
              <w:rPr>
                <w:w w:val="110"/>
                <w:sz w:val="21"/>
                <w:szCs w:val="21"/>
              </w:rPr>
            </w:pPr>
          </w:p>
          <w:p w14:paraId="25DC87A2" w14:textId="77777777" w:rsidR="001B307F" w:rsidRDefault="000016AE">
            <w:pPr>
              <w:contextualSpacing/>
              <w:rPr>
                <w:w w:val="110"/>
                <w:sz w:val="21"/>
                <w:szCs w:val="21"/>
              </w:rPr>
            </w:pPr>
            <w:r w:rsidRPr="00EC0B05">
              <w:rPr>
                <w:w w:val="110"/>
                <w:sz w:val="21"/>
                <w:szCs w:val="21"/>
              </w:rPr>
              <w:t xml:space="preserve">Carefully evaluate the borrower’s ongoing income and provide supporting documentation to demonstrate the likelihood of continuance.  </w:t>
            </w:r>
          </w:p>
          <w:p w14:paraId="38EDC83F" w14:textId="77777777" w:rsidR="001B307F" w:rsidRDefault="001B307F">
            <w:pPr>
              <w:contextualSpacing/>
              <w:rPr>
                <w:w w:val="110"/>
                <w:sz w:val="21"/>
                <w:szCs w:val="21"/>
              </w:rPr>
            </w:pPr>
          </w:p>
          <w:p w14:paraId="2FCBF04E" w14:textId="184C0F25" w:rsidR="000016AE" w:rsidRPr="00EC0B05" w:rsidRDefault="000016AE">
            <w:pPr>
              <w:contextualSpacing/>
              <w:rPr>
                <w:w w:val="110"/>
                <w:sz w:val="21"/>
                <w:szCs w:val="21"/>
              </w:rPr>
            </w:pPr>
            <w:r w:rsidRPr="00EC0B05">
              <w:rPr>
                <w:w w:val="110"/>
                <w:sz w:val="21"/>
                <w:szCs w:val="21"/>
              </w:rPr>
              <w:t xml:space="preserve">If the borrower has recently begun to receive capital gains, or the most recent year of capital gains showed an increase, obtain an explanation and supporting documentation to evidence why the most recent year should be utilized in lieu of a two-year average.   </w:t>
            </w:r>
          </w:p>
        </w:tc>
      </w:tr>
      <w:tr w:rsidR="00EC0B05" w:rsidRPr="00EC0B05" w14:paraId="4B0D2F18" w14:textId="77777777" w:rsidTr="0063752F">
        <w:tc>
          <w:tcPr>
            <w:tcW w:w="1336" w:type="pct"/>
          </w:tcPr>
          <w:p w14:paraId="3AA7519D" w14:textId="77777777" w:rsidR="000016AE" w:rsidRPr="00EC0B05" w:rsidRDefault="000016AE" w:rsidP="00471F7C">
            <w:pPr>
              <w:rPr>
                <w:b/>
                <w:w w:val="110"/>
                <w:sz w:val="21"/>
                <w:szCs w:val="21"/>
              </w:rPr>
            </w:pPr>
            <w:bookmarkStart w:id="23" w:name="commission"/>
            <w:r w:rsidRPr="00EC0B05">
              <w:rPr>
                <w:b/>
                <w:w w:val="110"/>
                <w:sz w:val="21"/>
                <w:szCs w:val="21"/>
              </w:rPr>
              <w:t>Commission</w:t>
            </w:r>
            <w:bookmarkEnd w:id="23"/>
          </w:p>
        </w:tc>
        <w:tc>
          <w:tcPr>
            <w:tcW w:w="3664" w:type="pct"/>
          </w:tcPr>
          <w:p w14:paraId="3FF2BB71" w14:textId="77777777" w:rsidR="000016AE" w:rsidRPr="00EC0B05" w:rsidRDefault="000016AE" w:rsidP="00471F7C">
            <w:pPr>
              <w:autoSpaceDE w:val="0"/>
              <w:autoSpaceDN w:val="0"/>
              <w:adjustRightInd w:val="0"/>
              <w:contextualSpacing/>
              <w:rPr>
                <w:w w:val="110"/>
                <w:sz w:val="21"/>
                <w:szCs w:val="21"/>
              </w:rPr>
            </w:pPr>
            <w:r w:rsidRPr="00EC0B05">
              <w:rPr>
                <w:w w:val="110"/>
                <w:sz w:val="21"/>
                <w:szCs w:val="21"/>
              </w:rPr>
              <w:t>A minimum history of two years of commission income is recommended.  The following documentation should be reviewed to determine the amount of commiss</w:t>
            </w:r>
            <w:r w:rsidR="002050F5">
              <w:rPr>
                <w:w w:val="110"/>
                <w:sz w:val="21"/>
                <w:szCs w:val="21"/>
              </w:rPr>
              <w:t>ion income used for qualifying:</w:t>
            </w:r>
          </w:p>
          <w:p w14:paraId="5E0DBBDC" w14:textId="35C2E8AA" w:rsidR="000016AE" w:rsidRPr="00EC0B05" w:rsidRDefault="000016AE" w:rsidP="00A8756A">
            <w:pPr>
              <w:pStyle w:val="ListParagraph"/>
              <w:numPr>
                <w:ilvl w:val="0"/>
                <w:numId w:val="24"/>
              </w:numPr>
              <w:autoSpaceDE w:val="0"/>
              <w:autoSpaceDN w:val="0"/>
              <w:adjustRightInd w:val="0"/>
              <w:ind w:left="702"/>
              <w:rPr>
                <w:w w:val="110"/>
                <w:sz w:val="21"/>
                <w:szCs w:val="21"/>
              </w:rPr>
            </w:pPr>
            <w:r w:rsidRPr="00EC0B05">
              <w:rPr>
                <w:w w:val="110"/>
                <w:sz w:val="21"/>
                <w:szCs w:val="21"/>
              </w:rPr>
              <w:t>The borrower’s two most recent paystubs and IRS W-2 for</w:t>
            </w:r>
            <w:r w:rsidR="005030A9">
              <w:rPr>
                <w:w w:val="110"/>
                <w:sz w:val="21"/>
                <w:szCs w:val="21"/>
              </w:rPr>
              <w:t>ms covering the most recent two-</w:t>
            </w:r>
            <w:r w:rsidRPr="00EC0B05">
              <w:rPr>
                <w:w w:val="110"/>
                <w:sz w:val="21"/>
                <w:szCs w:val="21"/>
              </w:rPr>
              <w:t>year period. I.e. a final paystub from the applicable year should show the commission wage broken-out from other wage income</w:t>
            </w:r>
            <w:r w:rsidR="00586773" w:rsidRPr="00EC0B05">
              <w:rPr>
                <w:w w:val="110"/>
                <w:sz w:val="21"/>
                <w:szCs w:val="21"/>
              </w:rPr>
              <w:t>.</w:t>
            </w:r>
          </w:p>
          <w:p w14:paraId="4FECD0A5" w14:textId="62708562" w:rsidR="000016AE" w:rsidRPr="00EC0B05" w:rsidRDefault="001E6F56" w:rsidP="00A8756A">
            <w:pPr>
              <w:pStyle w:val="ListParagraph"/>
              <w:numPr>
                <w:ilvl w:val="0"/>
                <w:numId w:val="24"/>
              </w:numPr>
              <w:autoSpaceDE w:val="0"/>
              <w:autoSpaceDN w:val="0"/>
              <w:adjustRightInd w:val="0"/>
              <w:ind w:left="702"/>
              <w:rPr>
                <w:w w:val="110"/>
                <w:sz w:val="21"/>
                <w:szCs w:val="21"/>
              </w:rPr>
            </w:pPr>
            <w:r w:rsidRPr="0063752F">
              <w:rPr>
                <w:w w:val="110"/>
                <w:sz w:val="21"/>
                <w:szCs w:val="21"/>
              </w:rPr>
              <w:t>A</w:t>
            </w:r>
            <w:r w:rsidR="000016AE" w:rsidRPr="0063752F">
              <w:rPr>
                <w:w w:val="110"/>
                <w:sz w:val="21"/>
                <w:szCs w:val="21"/>
              </w:rPr>
              <w:t>dditional documentation</w:t>
            </w:r>
            <w:r w:rsidRPr="0063752F">
              <w:rPr>
                <w:w w:val="110"/>
                <w:sz w:val="21"/>
                <w:szCs w:val="21"/>
              </w:rPr>
              <w:t xml:space="preserve"> may be required</w:t>
            </w:r>
            <w:r w:rsidR="000016AE" w:rsidRPr="0063752F">
              <w:rPr>
                <w:w w:val="110"/>
                <w:sz w:val="21"/>
                <w:szCs w:val="21"/>
              </w:rPr>
              <w:t xml:space="preserve"> if the commission income is not clear in the paystubs and W2 forms.</w:t>
            </w:r>
          </w:p>
        </w:tc>
      </w:tr>
      <w:tr w:rsidR="00EC0B05" w:rsidRPr="00EC0B05" w14:paraId="15FDB347" w14:textId="77777777" w:rsidTr="0063752F">
        <w:tc>
          <w:tcPr>
            <w:tcW w:w="1336" w:type="pct"/>
          </w:tcPr>
          <w:p w14:paraId="53D48DCD" w14:textId="77777777" w:rsidR="000016AE" w:rsidRPr="00EC0B05" w:rsidRDefault="000016AE" w:rsidP="00471F7C">
            <w:pPr>
              <w:rPr>
                <w:b/>
                <w:sz w:val="21"/>
                <w:szCs w:val="21"/>
              </w:rPr>
            </w:pPr>
            <w:bookmarkStart w:id="24" w:name="condos"/>
            <w:r w:rsidRPr="00EC0B05">
              <w:rPr>
                <w:b/>
                <w:sz w:val="21"/>
                <w:szCs w:val="21"/>
              </w:rPr>
              <w:t xml:space="preserve">Condominiums </w:t>
            </w:r>
            <w:bookmarkEnd w:id="24"/>
          </w:p>
        </w:tc>
        <w:tc>
          <w:tcPr>
            <w:tcW w:w="3664" w:type="pct"/>
          </w:tcPr>
          <w:p w14:paraId="1C50C266" w14:textId="77777777" w:rsidR="000016AE" w:rsidRPr="00EC0B05" w:rsidRDefault="000016AE" w:rsidP="00471F7C">
            <w:pPr>
              <w:contextualSpacing/>
              <w:rPr>
                <w:sz w:val="21"/>
                <w:szCs w:val="21"/>
              </w:rPr>
            </w:pPr>
            <w:r w:rsidRPr="00EC0B05">
              <w:rPr>
                <w:sz w:val="21"/>
                <w:szCs w:val="21"/>
              </w:rPr>
              <w:t xml:space="preserve">Condominiums are limited to those geographic areas where condominiums are common and customary.  </w:t>
            </w:r>
          </w:p>
          <w:p w14:paraId="3C353CBB" w14:textId="77777777" w:rsidR="00BD7229" w:rsidRDefault="00BD7229" w:rsidP="00471F7C">
            <w:pPr>
              <w:contextualSpacing/>
              <w:rPr>
                <w:sz w:val="21"/>
                <w:szCs w:val="21"/>
              </w:rPr>
            </w:pPr>
          </w:p>
          <w:p w14:paraId="613E7D1F" w14:textId="77777777" w:rsidR="000016AE" w:rsidRDefault="000016AE" w:rsidP="00471F7C">
            <w:pPr>
              <w:contextualSpacing/>
              <w:rPr>
                <w:sz w:val="21"/>
                <w:szCs w:val="21"/>
              </w:rPr>
            </w:pPr>
            <w:r w:rsidRPr="00EC0B05">
              <w:rPr>
                <w:sz w:val="21"/>
                <w:szCs w:val="21"/>
              </w:rPr>
              <w:t>All loans secured by condominiums require a completed project questionnaire/certification.</w:t>
            </w:r>
          </w:p>
          <w:p w14:paraId="61679FEF" w14:textId="77777777" w:rsidR="00BD7229" w:rsidRDefault="00BD7229" w:rsidP="00471F7C">
            <w:pPr>
              <w:contextualSpacing/>
              <w:rPr>
                <w:sz w:val="21"/>
                <w:szCs w:val="21"/>
              </w:rPr>
            </w:pPr>
          </w:p>
          <w:p w14:paraId="5F6F7109" w14:textId="4682BCE9" w:rsidR="00BD7229" w:rsidRPr="00EC0B05" w:rsidRDefault="00BD7229" w:rsidP="00471F7C">
            <w:pPr>
              <w:contextualSpacing/>
              <w:rPr>
                <w:sz w:val="21"/>
                <w:szCs w:val="21"/>
              </w:rPr>
            </w:pPr>
            <w:r>
              <w:rPr>
                <w:sz w:val="21"/>
                <w:szCs w:val="21"/>
              </w:rPr>
              <w:lastRenderedPageBreak/>
              <w:t>If the condominium is located in a judicial for</w:t>
            </w:r>
            <w:r w:rsidR="00D4763F">
              <w:rPr>
                <w:sz w:val="21"/>
                <w:szCs w:val="21"/>
              </w:rPr>
              <w:t>eclosure state, and an LTV devia</w:t>
            </w:r>
            <w:r>
              <w:rPr>
                <w:sz w:val="21"/>
                <w:szCs w:val="21"/>
              </w:rPr>
              <w:t>tion has been granted, the borrower will be required to pledge 12 months of HOA dues in an account at the Bank.</w:t>
            </w:r>
          </w:p>
          <w:p w14:paraId="770C5C4B" w14:textId="77777777" w:rsidR="000016AE" w:rsidRPr="00EC0B05" w:rsidRDefault="000016AE" w:rsidP="00471F7C">
            <w:pPr>
              <w:pStyle w:val="ListParagraph"/>
              <w:autoSpaceDE w:val="0"/>
              <w:autoSpaceDN w:val="0"/>
              <w:adjustRightInd w:val="0"/>
              <w:ind w:left="3600"/>
              <w:rPr>
                <w:sz w:val="21"/>
                <w:szCs w:val="21"/>
              </w:rPr>
            </w:pPr>
          </w:p>
          <w:p w14:paraId="303D9E49" w14:textId="77777777" w:rsidR="000016AE" w:rsidRPr="00EC0B05" w:rsidRDefault="000016AE" w:rsidP="00471F7C">
            <w:pPr>
              <w:autoSpaceDE w:val="0"/>
              <w:autoSpaceDN w:val="0"/>
              <w:adjustRightInd w:val="0"/>
              <w:contextualSpacing/>
              <w:rPr>
                <w:sz w:val="21"/>
                <w:szCs w:val="21"/>
              </w:rPr>
            </w:pPr>
            <w:r w:rsidRPr="00EC0B05">
              <w:rPr>
                <w:sz w:val="21"/>
                <w:szCs w:val="21"/>
              </w:rPr>
              <w:t>Pending Litigation – The following documentation is required</w:t>
            </w:r>
            <w:r w:rsidR="00586773" w:rsidRPr="00EC0B05">
              <w:rPr>
                <w:sz w:val="21"/>
                <w:szCs w:val="21"/>
              </w:rPr>
              <w:t>:</w:t>
            </w:r>
            <w:r w:rsidRPr="00EC0B05">
              <w:rPr>
                <w:sz w:val="21"/>
                <w:szCs w:val="21"/>
              </w:rPr>
              <w:t xml:space="preserve"> </w:t>
            </w:r>
          </w:p>
          <w:p w14:paraId="46EE25DE" w14:textId="77777777" w:rsidR="000016AE" w:rsidRPr="00EC0B05" w:rsidRDefault="000016AE" w:rsidP="00A8756A">
            <w:pPr>
              <w:pStyle w:val="ListParagraph"/>
              <w:numPr>
                <w:ilvl w:val="0"/>
                <w:numId w:val="36"/>
              </w:numPr>
              <w:autoSpaceDE w:val="0"/>
              <w:autoSpaceDN w:val="0"/>
              <w:adjustRightInd w:val="0"/>
              <w:ind w:left="694"/>
              <w:rPr>
                <w:sz w:val="21"/>
                <w:szCs w:val="21"/>
              </w:rPr>
            </w:pPr>
            <w:r w:rsidRPr="00EC0B05">
              <w:rPr>
                <w:sz w:val="21"/>
                <w:szCs w:val="21"/>
              </w:rPr>
              <w:t>Copy of the lawsuit or summary letter from the association’s attorney outlining possible outcomes.</w:t>
            </w:r>
          </w:p>
          <w:p w14:paraId="392F9D33" w14:textId="77777777" w:rsidR="000016AE" w:rsidRPr="00EC0B05" w:rsidRDefault="000016AE" w:rsidP="00A8756A">
            <w:pPr>
              <w:pStyle w:val="ListParagraph"/>
              <w:numPr>
                <w:ilvl w:val="0"/>
                <w:numId w:val="36"/>
              </w:numPr>
              <w:autoSpaceDE w:val="0"/>
              <w:autoSpaceDN w:val="0"/>
              <w:adjustRightInd w:val="0"/>
              <w:ind w:left="694"/>
              <w:rPr>
                <w:sz w:val="21"/>
                <w:szCs w:val="21"/>
              </w:rPr>
            </w:pPr>
            <w:r w:rsidRPr="00EC0B05">
              <w:rPr>
                <w:sz w:val="21"/>
                <w:szCs w:val="21"/>
              </w:rPr>
              <w:t>Current copies of applicable association insurance policies.</w:t>
            </w:r>
          </w:p>
          <w:p w14:paraId="72AE886A" w14:textId="77777777" w:rsidR="000016AE" w:rsidRPr="00EC0B05" w:rsidRDefault="000016AE" w:rsidP="00A8756A">
            <w:pPr>
              <w:pStyle w:val="ListParagraph"/>
              <w:numPr>
                <w:ilvl w:val="0"/>
                <w:numId w:val="36"/>
              </w:numPr>
              <w:autoSpaceDE w:val="0"/>
              <w:autoSpaceDN w:val="0"/>
              <w:adjustRightInd w:val="0"/>
              <w:ind w:left="694"/>
              <w:rPr>
                <w:sz w:val="21"/>
                <w:szCs w:val="21"/>
              </w:rPr>
            </w:pPr>
            <w:r w:rsidRPr="00EC0B05">
              <w:rPr>
                <w:sz w:val="21"/>
                <w:szCs w:val="21"/>
              </w:rPr>
              <w:t>Current Statement of Financial Position or Balance Sheet, Statement of Cash Flows or Cash Flow</w:t>
            </w:r>
          </w:p>
          <w:p w14:paraId="2CB43103" w14:textId="77777777" w:rsidR="000016AE" w:rsidRPr="00EC0B05" w:rsidRDefault="000016AE" w:rsidP="00A8756A">
            <w:pPr>
              <w:pStyle w:val="ListParagraph"/>
              <w:numPr>
                <w:ilvl w:val="0"/>
                <w:numId w:val="36"/>
              </w:numPr>
              <w:autoSpaceDE w:val="0"/>
              <w:autoSpaceDN w:val="0"/>
              <w:adjustRightInd w:val="0"/>
              <w:ind w:left="694"/>
              <w:rPr>
                <w:sz w:val="21"/>
                <w:szCs w:val="21"/>
              </w:rPr>
            </w:pPr>
            <w:r w:rsidRPr="00EC0B05">
              <w:rPr>
                <w:sz w:val="21"/>
                <w:szCs w:val="21"/>
              </w:rPr>
              <w:t>Analysis and Current Budget for the association.</w:t>
            </w:r>
          </w:p>
          <w:p w14:paraId="17C90627" w14:textId="77777777" w:rsidR="000016AE" w:rsidRPr="00EC0B05" w:rsidRDefault="000016AE" w:rsidP="00A8756A">
            <w:pPr>
              <w:pStyle w:val="ListParagraph"/>
              <w:widowControl w:val="0"/>
              <w:numPr>
                <w:ilvl w:val="0"/>
                <w:numId w:val="36"/>
              </w:numPr>
              <w:tabs>
                <w:tab w:val="left" w:pos="3375"/>
              </w:tabs>
              <w:kinsoku w:val="0"/>
              <w:overflowPunct w:val="0"/>
              <w:autoSpaceDE w:val="0"/>
              <w:autoSpaceDN w:val="0"/>
              <w:adjustRightInd w:val="0"/>
              <w:ind w:left="694" w:right="561"/>
              <w:rPr>
                <w:sz w:val="21"/>
                <w:szCs w:val="21"/>
              </w:rPr>
            </w:pPr>
            <w:r w:rsidRPr="00EC0B05">
              <w:rPr>
                <w:sz w:val="21"/>
                <w:szCs w:val="21"/>
              </w:rPr>
              <w:t>Comments from appraiser addressing the effect on marketability and any construction quality issues.</w:t>
            </w:r>
          </w:p>
        </w:tc>
      </w:tr>
      <w:tr w:rsidR="00EC0B05" w:rsidRPr="00EC0B05" w14:paraId="23D32297" w14:textId="77777777" w:rsidTr="0063752F">
        <w:tc>
          <w:tcPr>
            <w:tcW w:w="1336" w:type="pct"/>
          </w:tcPr>
          <w:p w14:paraId="40D36B9B" w14:textId="77777777" w:rsidR="000016AE" w:rsidRPr="00EC0B05" w:rsidRDefault="000016AE" w:rsidP="00471F7C">
            <w:pPr>
              <w:rPr>
                <w:b/>
                <w:sz w:val="21"/>
                <w:szCs w:val="21"/>
              </w:rPr>
            </w:pPr>
            <w:bookmarkStart w:id="25" w:name="condotels"/>
            <w:r w:rsidRPr="00EC0B05">
              <w:rPr>
                <w:b/>
                <w:sz w:val="21"/>
                <w:szCs w:val="21"/>
              </w:rPr>
              <w:lastRenderedPageBreak/>
              <w:t>Condotels</w:t>
            </w:r>
            <w:bookmarkEnd w:id="25"/>
          </w:p>
        </w:tc>
        <w:tc>
          <w:tcPr>
            <w:tcW w:w="3664" w:type="pct"/>
          </w:tcPr>
          <w:p w14:paraId="2225C104" w14:textId="187060D5" w:rsidR="000016AE" w:rsidRDefault="000016AE">
            <w:pPr>
              <w:contextualSpacing/>
              <w:rPr>
                <w:sz w:val="21"/>
                <w:szCs w:val="21"/>
              </w:rPr>
            </w:pPr>
            <w:r w:rsidRPr="00EC0B05">
              <w:rPr>
                <w:sz w:val="21"/>
                <w:szCs w:val="21"/>
              </w:rPr>
              <w:t>Condotels are allowed on a case-by-case basis</w:t>
            </w:r>
            <w:r w:rsidR="00BD7229">
              <w:rPr>
                <w:sz w:val="21"/>
                <w:szCs w:val="21"/>
              </w:rPr>
              <w:t>, and</w:t>
            </w:r>
            <w:r w:rsidRPr="00EC0B05">
              <w:rPr>
                <w:sz w:val="21"/>
                <w:szCs w:val="21"/>
              </w:rPr>
              <w:t xml:space="preserve"> must be in an established project</w:t>
            </w:r>
            <w:r w:rsidR="00BD7229">
              <w:rPr>
                <w:sz w:val="21"/>
                <w:szCs w:val="21"/>
              </w:rPr>
              <w:t xml:space="preserve">. </w:t>
            </w:r>
          </w:p>
          <w:p w14:paraId="1D6A72D9" w14:textId="77777777" w:rsidR="00562D79" w:rsidRDefault="00562D79">
            <w:pPr>
              <w:contextualSpacing/>
              <w:rPr>
                <w:sz w:val="21"/>
                <w:szCs w:val="21"/>
              </w:rPr>
            </w:pPr>
          </w:p>
          <w:p w14:paraId="09D3F7B9" w14:textId="1CBA524A" w:rsidR="00562D79" w:rsidRPr="00EC0B05" w:rsidRDefault="00562D79">
            <w:pPr>
              <w:contextualSpacing/>
              <w:rPr>
                <w:w w:val="110"/>
                <w:sz w:val="21"/>
                <w:szCs w:val="21"/>
              </w:rPr>
            </w:pPr>
            <w:r>
              <w:rPr>
                <w:sz w:val="21"/>
                <w:szCs w:val="21"/>
              </w:rPr>
              <w:t xml:space="preserve">All condotels have a maximum 50% LTV. </w:t>
            </w:r>
          </w:p>
        </w:tc>
      </w:tr>
      <w:tr w:rsidR="00EC0B05" w:rsidRPr="00EC0B05" w14:paraId="09456C4F" w14:textId="77777777" w:rsidTr="0063752F">
        <w:tc>
          <w:tcPr>
            <w:tcW w:w="1336" w:type="pct"/>
          </w:tcPr>
          <w:p w14:paraId="75E2BF0A" w14:textId="77777777" w:rsidR="000016AE" w:rsidRPr="00EC0B05" w:rsidRDefault="000016AE" w:rsidP="00471F7C">
            <w:pPr>
              <w:contextualSpacing/>
              <w:rPr>
                <w:b/>
                <w:sz w:val="21"/>
                <w:szCs w:val="21"/>
              </w:rPr>
            </w:pPr>
            <w:bookmarkStart w:id="26" w:name="consumer_credit_counsel"/>
            <w:r w:rsidRPr="00EC0B05">
              <w:rPr>
                <w:b/>
                <w:sz w:val="21"/>
                <w:szCs w:val="21"/>
              </w:rPr>
              <w:t>Consumer Credit Counseling (Previous Participant)</w:t>
            </w:r>
            <w:bookmarkEnd w:id="26"/>
          </w:p>
        </w:tc>
        <w:tc>
          <w:tcPr>
            <w:tcW w:w="3664" w:type="pct"/>
          </w:tcPr>
          <w:p w14:paraId="16C7C7B7" w14:textId="77777777" w:rsidR="000016AE" w:rsidRPr="00EC0B05" w:rsidRDefault="000016AE">
            <w:pPr>
              <w:contextualSpacing/>
              <w:rPr>
                <w:sz w:val="21"/>
                <w:szCs w:val="21"/>
              </w:rPr>
            </w:pPr>
            <w:r w:rsidRPr="00EC0B05">
              <w:rPr>
                <w:w w:val="110"/>
                <w:sz w:val="21"/>
                <w:szCs w:val="21"/>
              </w:rPr>
              <w:t>Borrowers that have completed a credit counseling program will be considered as long as there is a minimum of 48 months seasoning on re-established credit since the credit counseling was terminated.  The re- established credit may not include accounts paid through credit counseling.</w:t>
            </w:r>
          </w:p>
        </w:tc>
      </w:tr>
      <w:tr w:rsidR="00EC0B05" w:rsidRPr="00EC0B05" w14:paraId="6878585B" w14:textId="77777777" w:rsidTr="0063752F">
        <w:tc>
          <w:tcPr>
            <w:tcW w:w="1336" w:type="pct"/>
          </w:tcPr>
          <w:p w14:paraId="4758C859" w14:textId="77777777" w:rsidR="008F7A2E" w:rsidRPr="00916C53" w:rsidRDefault="00CD43E1" w:rsidP="00471F7C">
            <w:pPr>
              <w:rPr>
                <w:b/>
                <w:sz w:val="21"/>
                <w:szCs w:val="21"/>
              </w:rPr>
            </w:pPr>
            <w:bookmarkStart w:id="27" w:name="currency_conversion"/>
            <w:r w:rsidRPr="00916C53">
              <w:rPr>
                <w:b/>
                <w:sz w:val="21"/>
                <w:szCs w:val="21"/>
              </w:rPr>
              <w:t>Currency Conversion</w:t>
            </w:r>
            <w:bookmarkEnd w:id="27"/>
          </w:p>
        </w:tc>
        <w:tc>
          <w:tcPr>
            <w:tcW w:w="3664" w:type="pct"/>
          </w:tcPr>
          <w:p w14:paraId="340ADA45" w14:textId="77777777" w:rsidR="00916C53" w:rsidRDefault="00CD43E1">
            <w:r w:rsidRPr="00EC0B05">
              <w:t>Use the website below for any currency conversions:</w:t>
            </w:r>
            <w:r w:rsidR="00916C53">
              <w:t xml:space="preserve"> </w:t>
            </w:r>
          </w:p>
          <w:p w14:paraId="1F645E0A" w14:textId="77777777" w:rsidR="008F7A2E" w:rsidRPr="00916C53" w:rsidRDefault="005036E4">
            <w:hyperlink r:id="rId10" w:history="1">
              <w:r w:rsidR="00916C53" w:rsidRPr="008E69A5">
                <w:rPr>
                  <w:rStyle w:val="Hyperlink"/>
                </w:rPr>
                <w:t>https://www.oanda.com/currency/converter/</w:t>
              </w:r>
            </w:hyperlink>
            <w:r w:rsidR="00916C53">
              <w:t xml:space="preserve"> </w:t>
            </w:r>
          </w:p>
        </w:tc>
      </w:tr>
      <w:tr w:rsidR="00EC0B05" w:rsidRPr="00EC0B05" w14:paraId="3D89B0A0" w14:textId="77777777" w:rsidTr="0063752F">
        <w:tc>
          <w:tcPr>
            <w:tcW w:w="1336" w:type="pct"/>
          </w:tcPr>
          <w:p w14:paraId="6BE29A22" w14:textId="77777777" w:rsidR="000016AE" w:rsidRPr="00EC0B05" w:rsidRDefault="000016AE" w:rsidP="00471F7C">
            <w:pPr>
              <w:rPr>
                <w:b/>
                <w:sz w:val="21"/>
                <w:szCs w:val="21"/>
              </w:rPr>
            </w:pPr>
            <w:bookmarkStart w:id="28" w:name="coops"/>
            <w:r w:rsidRPr="00EC0B05">
              <w:rPr>
                <w:b/>
                <w:sz w:val="21"/>
                <w:szCs w:val="21"/>
              </w:rPr>
              <w:t>Cooperatives</w:t>
            </w:r>
            <w:bookmarkEnd w:id="28"/>
          </w:p>
        </w:tc>
        <w:tc>
          <w:tcPr>
            <w:tcW w:w="3664" w:type="pct"/>
          </w:tcPr>
          <w:p w14:paraId="6F400CF3" w14:textId="77777777" w:rsidR="000016AE" w:rsidRPr="00EC0B05" w:rsidRDefault="000016AE" w:rsidP="00471F7C">
            <w:pPr>
              <w:pStyle w:val="BodyText"/>
              <w:numPr>
                <w:ilvl w:val="0"/>
                <w:numId w:val="4"/>
              </w:numPr>
              <w:tabs>
                <w:tab w:val="left" w:pos="3019"/>
              </w:tabs>
              <w:kinsoku w:val="0"/>
              <w:overflowPunct w:val="0"/>
              <w:ind w:left="702"/>
              <w:rPr>
                <w:rFonts w:asciiTheme="minorHAnsi" w:eastAsiaTheme="minorHAnsi" w:hAnsiTheme="minorHAnsi" w:cstheme="minorBidi"/>
                <w:w w:val="110"/>
              </w:rPr>
            </w:pPr>
            <w:r w:rsidRPr="00EC0B05">
              <w:rPr>
                <w:rFonts w:asciiTheme="minorHAnsi" w:eastAsiaTheme="minorHAnsi" w:hAnsiTheme="minorHAnsi" w:cstheme="minorBidi"/>
                <w:w w:val="110"/>
              </w:rPr>
              <w:t>Cooperatives are limited to NY State only.</w:t>
            </w:r>
          </w:p>
          <w:p w14:paraId="073DB733" w14:textId="77777777" w:rsidR="000016AE" w:rsidRPr="00EC0B05" w:rsidRDefault="000016AE" w:rsidP="00471F7C">
            <w:pPr>
              <w:pStyle w:val="BodyText"/>
              <w:numPr>
                <w:ilvl w:val="0"/>
                <w:numId w:val="4"/>
              </w:numPr>
              <w:kinsoku w:val="0"/>
              <w:overflowPunct w:val="0"/>
              <w:ind w:left="702"/>
              <w:rPr>
                <w:rFonts w:asciiTheme="minorHAnsi" w:eastAsiaTheme="minorHAnsi" w:hAnsiTheme="minorHAnsi" w:cstheme="minorBidi"/>
                <w:w w:val="110"/>
              </w:rPr>
            </w:pPr>
            <w:r w:rsidRPr="00EC0B05">
              <w:rPr>
                <w:rFonts w:asciiTheme="minorHAnsi" w:eastAsiaTheme="minorHAnsi" w:hAnsiTheme="minorHAnsi" w:cstheme="minorBidi"/>
                <w:w w:val="110"/>
              </w:rPr>
              <w:t>A cooperative questionnaire is required.</w:t>
            </w:r>
          </w:p>
          <w:p w14:paraId="65A9C8D0" w14:textId="77777777" w:rsidR="000016AE" w:rsidRPr="00EC0B05" w:rsidRDefault="000016AE" w:rsidP="00471F7C">
            <w:pPr>
              <w:pStyle w:val="BodyText"/>
              <w:numPr>
                <w:ilvl w:val="0"/>
                <w:numId w:val="4"/>
              </w:numPr>
              <w:kinsoku w:val="0"/>
              <w:overflowPunct w:val="0"/>
              <w:ind w:left="702"/>
              <w:rPr>
                <w:rFonts w:asciiTheme="minorHAnsi" w:hAnsiTheme="minorHAnsi"/>
                <w:b/>
              </w:rPr>
            </w:pPr>
            <w:r w:rsidRPr="00EC0B05">
              <w:rPr>
                <w:rFonts w:asciiTheme="minorHAnsi" w:eastAsiaTheme="minorHAnsi" w:hAnsiTheme="minorHAnsi" w:cstheme="minorBidi"/>
                <w:w w:val="110"/>
              </w:rPr>
              <w:t>Collateral Requirements: stock certificate - proprietary leases and one security instrument</w:t>
            </w:r>
          </w:p>
        </w:tc>
      </w:tr>
      <w:tr w:rsidR="00EC0B05" w:rsidRPr="00EC0B05" w14:paraId="670C8F54" w14:textId="77777777" w:rsidTr="0063752F">
        <w:tc>
          <w:tcPr>
            <w:tcW w:w="1336" w:type="pct"/>
          </w:tcPr>
          <w:p w14:paraId="6649B487" w14:textId="77777777" w:rsidR="000016AE" w:rsidRPr="00EC0B05" w:rsidRDefault="000016AE" w:rsidP="00471F7C">
            <w:pPr>
              <w:rPr>
                <w:b/>
                <w:w w:val="110"/>
                <w:sz w:val="21"/>
                <w:szCs w:val="21"/>
              </w:rPr>
            </w:pPr>
            <w:bookmarkStart w:id="29" w:name="corp"/>
            <w:r w:rsidRPr="00EC0B05">
              <w:rPr>
                <w:b/>
                <w:w w:val="110"/>
                <w:sz w:val="21"/>
                <w:szCs w:val="21"/>
              </w:rPr>
              <w:t>Corporation</w:t>
            </w:r>
            <w:bookmarkEnd w:id="29"/>
            <w:r w:rsidR="00A37D73" w:rsidRPr="00EC0B05">
              <w:rPr>
                <w:b/>
                <w:w w:val="110"/>
                <w:sz w:val="21"/>
                <w:szCs w:val="21"/>
              </w:rPr>
              <w:t xml:space="preserve"> Income</w:t>
            </w:r>
          </w:p>
        </w:tc>
        <w:tc>
          <w:tcPr>
            <w:tcW w:w="3664" w:type="pct"/>
          </w:tcPr>
          <w:p w14:paraId="349F870B" w14:textId="77777777" w:rsidR="000016AE" w:rsidRPr="00EC0B05" w:rsidRDefault="000016AE">
            <w:pPr>
              <w:contextualSpacing/>
              <w:rPr>
                <w:w w:val="110"/>
                <w:sz w:val="21"/>
                <w:szCs w:val="21"/>
              </w:rPr>
            </w:pPr>
            <w:r w:rsidRPr="00EC0B05">
              <w:rPr>
                <w:w w:val="110"/>
                <w:sz w:val="21"/>
                <w:szCs w:val="21"/>
              </w:rPr>
              <w:t xml:space="preserve">Corporations use IRS Form 1120 to report taxes.  The cash flow analysis can only consider the borrower’s share of business income or loss taking into consideration adjustments when the borrower owns 50% or more of the business.  </w:t>
            </w:r>
          </w:p>
        </w:tc>
      </w:tr>
      <w:tr w:rsidR="00EC0B05" w:rsidRPr="00EC0B05" w14:paraId="6227EDF2" w14:textId="77777777" w:rsidTr="0063752F">
        <w:tc>
          <w:tcPr>
            <w:tcW w:w="1336" w:type="pct"/>
          </w:tcPr>
          <w:p w14:paraId="67E37DA7" w14:textId="77777777" w:rsidR="000016AE" w:rsidRPr="00EC0B05" w:rsidRDefault="000016AE" w:rsidP="00471F7C">
            <w:pPr>
              <w:rPr>
                <w:b/>
                <w:sz w:val="21"/>
                <w:szCs w:val="21"/>
              </w:rPr>
            </w:pPr>
            <w:bookmarkStart w:id="30" w:name="co_signed_debts"/>
            <w:r w:rsidRPr="00EC0B05">
              <w:rPr>
                <w:b/>
                <w:sz w:val="21"/>
                <w:szCs w:val="21"/>
              </w:rPr>
              <w:t>Co-Signed Debts</w:t>
            </w:r>
            <w:bookmarkEnd w:id="30"/>
          </w:p>
        </w:tc>
        <w:tc>
          <w:tcPr>
            <w:tcW w:w="3664" w:type="pct"/>
          </w:tcPr>
          <w:p w14:paraId="1D585E57" w14:textId="2A3F7BB6" w:rsidR="000016AE" w:rsidRPr="00EC0B05" w:rsidRDefault="000016AE">
            <w:pPr>
              <w:contextualSpacing/>
              <w:rPr>
                <w:sz w:val="21"/>
                <w:szCs w:val="21"/>
              </w:rPr>
            </w:pPr>
            <w:r w:rsidRPr="00EC0B05">
              <w:rPr>
                <w:w w:val="110"/>
                <w:sz w:val="21"/>
                <w:szCs w:val="21"/>
              </w:rPr>
              <w:t xml:space="preserve">Co-signed debts will not be counted in the BDTI ratio, if sufficient proof is provided that the Co-Signed primary debtor makes the payments and the payments have not been delinquent for the most recent </w:t>
            </w:r>
            <w:r w:rsidR="001B720E">
              <w:rPr>
                <w:w w:val="110"/>
                <w:sz w:val="21"/>
                <w:szCs w:val="21"/>
              </w:rPr>
              <w:t>6</w:t>
            </w:r>
            <w:r w:rsidRPr="00EC0B05">
              <w:rPr>
                <w:w w:val="110"/>
                <w:sz w:val="21"/>
                <w:szCs w:val="21"/>
              </w:rPr>
              <w:t xml:space="preserve"> months.</w:t>
            </w:r>
            <w:r w:rsidRPr="00EC0B05">
              <w:rPr>
                <w:sz w:val="21"/>
                <w:szCs w:val="21"/>
              </w:rPr>
              <w:t xml:space="preserve">  </w:t>
            </w:r>
          </w:p>
        </w:tc>
      </w:tr>
      <w:tr w:rsidR="00EC0B05" w:rsidRPr="00EC0B05" w14:paraId="6EE58069" w14:textId="77777777" w:rsidTr="0063752F">
        <w:tc>
          <w:tcPr>
            <w:tcW w:w="1336" w:type="pct"/>
          </w:tcPr>
          <w:p w14:paraId="30E03B8D" w14:textId="77777777" w:rsidR="000016AE" w:rsidRPr="00EC0B05" w:rsidRDefault="000016AE" w:rsidP="00471F7C">
            <w:pPr>
              <w:rPr>
                <w:b/>
                <w:sz w:val="21"/>
                <w:szCs w:val="21"/>
              </w:rPr>
            </w:pPr>
            <w:bookmarkStart w:id="31" w:name="court_ordered"/>
            <w:r w:rsidRPr="00EC0B05">
              <w:rPr>
                <w:b/>
                <w:sz w:val="21"/>
                <w:szCs w:val="21"/>
              </w:rPr>
              <w:t>Court Ordered Assignment of Debt</w:t>
            </w:r>
            <w:bookmarkEnd w:id="31"/>
          </w:p>
        </w:tc>
        <w:tc>
          <w:tcPr>
            <w:tcW w:w="3664" w:type="pct"/>
          </w:tcPr>
          <w:p w14:paraId="25595383" w14:textId="77777777" w:rsidR="000016AE" w:rsidRPr="00EC0B05" w:rsidRDefault="000016AE">
            <w:pPr>
              <w:widowControl w:val="0"/>
              <w:ind w:right="171"/>
              <w:contextualSpacing/>
              <w:rPr>
                <w:b/>
                <w:sz w:val="21"/>
                <w:szCs w:val="21"/>
              </w:rPr>
            </w:pPr>
            <w:r w:rsidRPr="00EC0B05">
              <w:rPr>
                <w:w w:val="110"/>
                <w:sz w:val="21"/>
                <w:szCs w:val="21"/>
              </w:rPr>
              <w:t>When a borrower has outstanding debt that was assigned to another party by court order (such as under a divorce decree or separation agreement) and the creditor does not release the borrower from liability, the borrower has a contingent liability.  It is not required to count this contingent liability as part of the borrower’s recurring monthly debt obligations, but will be considered in the overall credit decision.</w:t>
            </w:r>
          </w:p>
        </w:tc>
      </w:tr>
      <w:tr w:rsidR="00EC0B05" w:rsidRPr="00EC0B05" w14:paraId="16E31BC5" w14:textId="77777777" w:rsidTr="0063752F">
        <w:tc>
          <w:tcPr>
            <w:tcW w:w="1336" w:type="pct"/>
          </w:tcPr>
          <w:p w14:paraId="757C2258" w14:textId="77777777" w:rsidR="000016AE" w:rsidRPr="00EC0B05" w:rsidRDefault="000016AE" w:rsidP="00471F7C">
            <w:pPr>
              <w:rPr>
                <w:b/>
                <w:sz w:val="21"/>
                <w:szCs w:val="21"/>
              </w:rPr>
            </w:pPr>
            <w:bookmarkStart w:id="32" w:name="credit_hist"/>
            <w:r w:rsidRPr="00EC0B05">
              <w:rPr>
                <w:b/>
                <w:sz w:val="21"/>
                <w:szCs w:val="21"/>
              </w:rPr>
              <w:t>Credit History</w:t>
            </w:r>
            <w:bookmarkEnd w:id="32"/>
          </w:p>
        </w:tc>
        <w:tc>
          <w:tcPr>
            <w:tcW w:w="3664" w:type="pct"/>
          </w:tcPr>
          <w:p w14:paraId="363E80E2" w14:textId="77777777" w:rsidR="000016AE" w:rsidRPr="00EC0B05" w:rsidRDefault="000016AE">
            <w:pPr>
              <w:autoSpaceDE w:val="0"/>
              <w:autoSpaceDN w:val="0"/>
              <w:adjustRightInd w:val="0"/>
              <w:contextualSpacing/>
              <w:rPr>
                <w:sz w:val="21"/>
                <w:szCs w:val="21"/>
              </w:rPr>
            </w:pPr>
            <w:r w:rsidRPr="00EC0B05">
              <w:rPr>
                <w:w w:val="110"/>
                <w:sz w:val="21"/>
                <w:szCs w:val="21"/>
              </w:rPr>
              <w:t>Generally, borrowers with credit delinquency will be scrutinized closely and should be addressed by the underwriter on loans being approved with appropriate compensating factors. Extenuating circumstances will be considered with a letter of explanation from the borrower.  Borrower(s) should exhibit at least four active major consumer credit and /or mortgage accounts; however, borrower(s) with no credit history will be considered on a case-by-case basis.  (See Non Traditional Credit)</w:t>
            </w:r>
          </w:p>
        </w:tc>
      </w:tr>
      <w:tr w:rsidR="00EC0B05" w:rsidRPr="00EC0B05" w14:paraId="4B67764C" w14:textId="77777777" w:rsidTr="0063752F">
        <w:tc>
          <w:tcPr>
            <w:tcW w:w="1336" w:type="pct"/>
          </w:tcPr>
          <w:p w14:paraId="21AD1ADA" w14:textId="77777777" w:rsidR="000016AE" w:rsidRPr="00EC0B05" w:rsidRDefault="000016AE" w:rsidP="00471F7C">
            <w:pPr>
              <w:rPr>
                <w:b/>
                <w:sz w:val="21"/>
                <w:szCs w:val="21"/>
              </w:rPr>
            </w:pPr>
            <w:bookmarkStart w:id="33" w:name="credit_scores"/>
            <w:r w:rsidRPr="00EC0B05">
              <w:rPr>
                <w:b/>
                <w:sz w:val="21"/>
                <w:szCs w:val="21"/>
              </w:rPr>
              <w:t>Credit Scores</w:t>
            </w:r>
            <w:bookmarkEnd w:id="33"/>
          </w:p>
        </w:tc>
        <w:tc>
          <w:tcPr>
            <w:tcW w:w="3664" w:type="pct"/>
          </w:tcPr>
          <w:p w14:paraId="08EBDF36" w14:textId="77777777" w:rsidR="000016AE" w:rsidRPr="00EC0B05" w:rsidRDefault="000016AE">
            <w:pPr>
              <w:contextualSpacing/>
              <w:rPr>
                <w:w w:val="110"/>
                <w:sz w:val="21"/>
                <w:szCs w:val="21"/>
              </w:rPr>
            </w:pPr>
            <w:r w:rsidRPr="00EC0B05">
              <w:rPr>
                <w:w w:val="110"/>
                <w:sz w:val="21"/>
                <w:szCs w:val="21"/>
              </w:rPr>
              <w:t xml:space="preserve">The </w:t>
            </w:r>
            <w:r w:rsidR="00586773" w:rsidRPr="00EC0B05">
              <w:rPr>
                <w:w w:val="110"/>
                <w:sz w:val="21"/>
                <w:szCs w:val="21"/>
              </w:rPr>
              <w:t xml:space="preserve">lowest </w:t>
            </w:r>
            <w:r w:rsidRPr="00EC0B05">
              <w:rPr>
                <w:w w:val="110"/>
                <w:sz w:val="21"/>
                <w:szCs w:val="21"/>
              </w:rPr>
              <w:t xml:space="preserve">middle credit score from </w:t>
            </w:r>
            <w:r w:rsidR="00586773" w:rsidRPr="00EC0B05">
              <w:rPr>
                <w:w w:val="110"/>
                <w:sz w:val="21"/>
                <w:szCs w:val="21"/>
              </w:rPr>
              <w:t xml:space="preserve">all borrowers </w:t>
            </w:r>
            <w:r w:rsidRPr="00EC0B05">
              <w:rPr>
                <w:w w:val="110"/>
                <w:sz w:val="21"/>
                <w:szCs w:val="21"/>
              </w:rPr>
              <w:t>will be utilized to determine program eligibility.</w:t>
            </w:r>
          </w:p>
          <w:p w14:paraId="5BDECF11" w14:textId="77777777" w:rsidR="000016AE" w:rsidRPr="00EC0B05" w:rsidRDefault="000016AE" w:rsidP="00A8756A">
            <w:pPr>
              <w:pStyle w:val="ListParagraph"/>
              <w:numPr>
                <w:ilvl w:val="0"/>
                <w:numId w:val="38"/>
              </w:numPr>
              <w:ind w:left="702"/>
              <w:rPr>
                <w:w w:val="110"/>
                <w:sz w:val="21"/>
                <w:szCs w:val="21"/>
              </w:rPr>
            </w:pPr>
            <w:r w:rsidRPr="00EC0B05">
              <w:rPr>
                <w:w w:val="110"/>
                <w:sz w:val="21"/>
                <w:szCs w:val="21"/>
              </w:rPr>
              <w:t>Foreign borrowers do not have a traditional U.S. credit score and as such are exempt from this guideline.</w:t>
            </w:r>
          </w:p>
          <w:p w14:paraId="0DBA9EB6" w14:textId="77777777" w:rsidR="000016AE" w:rsidRPr="00EC0B05" w:rsidRDefault="000016AE" w:rsidP="00471F7C">
            <w:pPr>
              <w:rPr>
                <w:b/>
                <w:sz w:val="21"/>
                <w:szCs w:val="21"/>
              </w:rPr>
            </w:pPr>
            <w:r w:rsidRPr="00EC0B05">
              <w:rPr>
                <w:w w:val="110"/>
                <w:sz w:val="21"/>
                <w:szCs w:val="21"/>
              </w:rPr>
              <w:lastRenderedPageBreak/>
              <w:t>Any exceptions to the FICO requirement should be carefully considered and</w:t>
            </w:r>
            <w:r w:rsidR="00586773" w:rsidRPr="00EC0B05">
              <w:rPr>
                <w:w w:val="110"/>
                <w:sz w:val="21"/>
                <w:szCs w:val="21"/>
              </w:rPr>
              <w:t xml:space="preserve"> t</w:t>
            </w:r>
            <w:r w:rsidRPr="00EC0B05">
              <w:rPr>
                <w:w w:val="110"/>
                <w:sz w:val="21"/>
                <w:szCs w:val="21"/>
              </w:rPr>
              <w:t>he exception must be reasonable and well documented.</w:t>
            </w:r>
          </w:p>
        </w:tc>
      </w:tr>
      <w:tr w:rsidR="00EC0B05" w:rsidRPr="00EC0B05" w14:paraId="71695C9C" w14:textId="77777777" w:rsidTr="0063752F">
        <w:tc>
          <w:tcPr>
            <w:tcW w:w="1336" w:type="pct"/>
          </w:tcPr>
          <w:p w14:paraId="5B3214B4" w14:textId="77777777" w:rsidR="000016AE" w:rsidRPr="00EC0B05" w:rsidRDefault="000016AE" w:rsidP="00471F7C">
            <w:pPr>
              <w:rPr>
                <w:b/>
                <w:sz w:val="21"/>
                <w:szCs w:val="21"/>
              </w:rPr>
            </w:pPr>
            <w:bookmarkStart w:id="34" w:name="cross_collat"/>
            <w:r w:rsidRPr="00EC0B05">
              <w:rPr>
                <w:b/>
                <w:sz w:val="21"/>
                <w:szCs w:val="21"/>
              </w:rPr>
              <w:lastRenderedPageBreak/>
              <w:t>Cross Collateral</w:t>
            </w:r>
            <w:bookmarkEnd w:id="34"/>
          </w:p>
        </w:tc>
        <w:tc>
          <w:tcPr>
            <w:tcW w:w="3664" w:type="pct"/>
          </w:tcPr>
          <w:p w14:paraId="2B512817" w14:textId="6079AEA9" w:rsidR="000016AE" w:rsidRDefault="000016AE">
            <w:pPr>
              <w:rPr>
                <w:w w:val="110"/>
                <w:sz w:val="21"/>
                <w:szCs w:val="21"/>
              </w:rPr>
            </w:pPr>
            <w:r w:rsidRPr="00EC0B05">
              <w:rPr>
                <w:w w:val="110"/>
                <w:sz w:val="21"/>
                <w:szCs w:val="21"/>
              </w:rPr>
              <w:t xml:space="preserve">The cross collateral program </w:t>
            </w:r>
            <w:r w:rsidR="009B7878">
              <w:rPr>
                <w:w w:val="110"/>
                <w:sz w:val="21"/>
                <w:szCs w:val="21"/>
              </w:rPr>
              <w:t xml:space="preserve">generally </w:t>
            </w:r>
            <w:r w:rsidRPr="00EC0B05">
              <w:rPr>
                <w:w w:val="110"/>
                <w:sz w:val="21"/>
                <w:szCs w:val="21"/>
              </w:rPr>
              <w:t xml:space="preserve">allows up to 90% financing of the </w:t>
            </w:r>
            <w:r w:rsidR="00B6229D">
              <w:rPr>
                <w:w w:val="110"/>
                <w:sz w:val="21"/>
                <w:szCs w:val="21"/>
              </w:rPr>
              <w:t xml:space="preserve">eligible </w:t>
            </w:r>
            <w:r w:rsidRPr="00EC0B05">
              <w:rPr>
                <w:w w:val="110"/>
                <w:sz w:val="21"/>
                <w:szCs w:val="21"/>
              </w:rPr>
              <w:t>property value (the lesser of the appraised value or the purchase price)</w:t>
            </w:r>
            <w:r w:rsidR="00B6229D">
              <w:rPr>
                <w:w w:val="110"/>
                <w:sz w:val="21"/>
                <w:szCs w:val="21"/>
              </w:rPr>
              <w:t>, and, in certain cases (see below), an allowance for the borrower to elect not to make a down payment.</w:t>
            </w:r>
          </w:p>
          <w:p w14:paraId="115DCFA9" w14:textId="77777777" w:rsidR="009B7878" w:rsidRDefault="009B7878">
            <w:pPr>
              <w:rPr>
                <w:w w:val="110"/>
                <w:sz w:val="21"/>
                <w:szCs w:val="21"/>
              </w:rPr>
            </w:pPr>
          </w:p>
          <w:p w14:paraId="20112564" w14:textId="77777777" w:rsidR="00B6229D" w:rsidRDefault="00B6229D">
            <w:pPr>
              <w:rPr>
                <w:w w:val="110"/>
                <w:sz w:val="21"/>
                <w:szCs w:val="21"/>
              </w:rPr>
            </w:pPr>
            <w:r>
              <w:rPr>
                <w:w w:val="110"/>
                <w:sz w:val="21"/>
                <w:szCs w:val="21"/>
              </w:rPr>
              <w:t>Generally, the minimum cash down payment required is as follows:</w:t>
            </w:r>
          </w:p>
          <w:p w14:paraId="04F202DC" w14:textId="2ADEB002" w:rsidR="00B6229D" w:rsidRDefault="00B6229D" w:rsidP="00A8756A">
            <w:pPr>
              <w:pStyle w:val="ListParagraph"/>
              <w:numPr>
                <w:ilvl w:val="0"/>
                <w:numId w:val="38"/>
              </w:numPr>
              <w:rPr>
                <w:w w:val="110"/>
                <w:sz w:val="21"/>
                <w:szCs w:val="21"/>
              </w:rPr>
            </w:pPr>
            <w:r>
              <w:rPr>
                <w:w w:val="110"/>
                <w:sz w:val="21"/>
                <w:szCs w:val="21"/>
              </w:rPr>
              <w:t>10% cash down required for owner-occupied properties</w:t>
            </w:r>
          </w:p>
          <w:p w14:paraId="732C8563" w14:textId="3C12FAD8" w:rsidR="00B6229D" w:rsidRPr="00B6229D" w:rsidRDefault="00B6229D" w:rsidP="00A8756A">
            <w:pPr>
              <w:pStyle w:val="ListParagraph"/>
              <w:numPr>
                <w:ilvl w:val="0"/>
                <w:numId w:val="38"/>
              </w:numPr>
              <w:rPr>
                <w:w w:val="110"/>
                <w:sz w:val="21"/>
                <w:szCs w:val="21"/>
              </w:rPr>
            </w:pPr>
            <w:r>
              <w:rPr>
                <w:w w:val="110"/>
                <w:sz w:val="21"/>
                <w:szCs w:val="21"/>
              </w:rPr>
              <w:t>20% cash down required for second home or investment properties</w:t>
            </w:r>
          </w:p>
          <w:p w14:paraId="4CD43B41" w14:textId="77777777" w:rsidR="00B6229D" w:rsidRDefault="00B6229D">
            <w:pPr>
              <w:rPr>
                <w:w w:val="110"/>
                <w:sz w:val="21"/>
                <w:szCs w:val="21"/>
              </w:rPr>
            </w:pPr>
          </w:p>
          <w:p w14:paraId="56F44CAD" w14:textId="7C3F93F1" w:rsidR="009B7878" w:rsidRDefault="009B7878">
            <w:pPr>
              <w:rPr>
                <w:w w:val="110"/>
                <w:sz w:val="21"/>
                <w:szCs w:val="21"/>
              </w:rPr>
            </w:pPr>
            <w:r>
              <w:rPr>
                <w:w w:val="110"/>
                <w:sz w:val="21"/>
                <w:szCs w:val="21"/>
              </w:rPr>
              <w:t xml:space="preserve">100% financing may be </w:t>
            </w:r>
            <w:r w:rsidR="003C2B48">
              <w:rPr>
                <w:w w:val="110"/>
                <w:sz w:val="21"/>
                <w:szCs w:val="21"/>
              </w:rPr>
              <w:t>available if the following three conditions are met</w:t>
            </w:r>
            <w:r w:rsidR="009A1EB8">
              <w:rPr>
                <w:w w:val="110"/>
                <w:sz w:val="21"/>
                <w:szCs w:val="21"/>
              </w:rPr>
              <w:t>:</w:t>
            </w:r>
          </w:p>
          <w:p w14:paraId="1FBFECA5" w14:textId="7B8F0C61" w:rsidR="009A1EB8" w:rsidRPr="003C2B48" w:rsidRDefault="00BA24F0" w:rsidP="00A8756A">
            <w:pPr>
              <w:pStyle w:val="ListParagraph"/>
              <w:numPr>
                <w:ilvl w:val="0"/>
                <w:numId w:val="74"/>
              </w:numPr>
              <w:rPr>
                <w:b/>
                <w:sz w:val="21"/>
                <w:szCs w:val="21"/>
              </w:rPr>
            </w:pPr>
            <w:r w:rsidRPr="003C2B48">
              <w:rPr>
                <w:sz w:val="21"/>
                <w:szCs w:val="21"/>
              </w:rPr>
              <w:t>Purchase transactions ONLY</w:t>
            </w:r>
          </w:p>
          <w:p w14:paraId="4464B5E6" w14:textId="11EE0BDE" w:rsidR="00BA24F0" w:rsidRPr="003C2B48" w:rsidRDefault="003C2B48" w:rsidP="00A8756A">
            <w:pPr>
              <w:pStyle w:val="ListParagraph"/>
              <w:numPr>
                <w:ilvl w:val="0"/>
                <w:numId w:val="74"/>
              </w:numPr>
              <w:rPr>
                <w:b/>
                <w:sz w:val="21"/>
                <w:szCs w:val="21"/>
              </w:rPr>
            </w:pPr>
            <w:r w:rsidRPr="003C2B48">
              <w:rPr>
                <w:sz w:val="21"/>
                <w:szCs w:val="21"/>
              </w:rPr>
              <w:t>E</w:t>
            </w:r>
            <w:r w:rsidR="009E7131">
              <w:rPr>
                <w:sz w:val="21"/>
                <w:szCs w:val="21"/>
              </w:rPr>
              <w:t xml:space="preserve">ffective </w:t>
            </w:r>
            <w:r w:rsidR="00070213">
              <w:rPr>
                <w:sz w:val="21"/>
                <w:szCs w:val="21"/>
              </w:rPr>
              <w:t xml:space="preserve">LTV that is AT </w:t>
            </w:r>
            <w:r w:rsidR="00070213" w:rsidRPr="00B87D67">
              <w:rPr>
                <w:sz w:val="21"/>
                <w:szCs w:val="21"/>
              </w:rPr>
              <w:t xml:space="preserve">LEAST </w:t>
            </w:r>
            <w:r w:rsidR="00CC76C8" w:rsidRPr="00B87D67">
              <w:rPr>
                <w:sz w:val="21"/>
                <w:szCs w:val="21"/>
              </w:rPr>
              <w:t>10%</w:t>
            </w:r>
            <w:r w:rsidRPr="00CC76C8">
              <w:rPr>
                <w:sz w:val="21"/>
                <w:szCs w:val="21"/>
              </w:rPr>
              <w:t xml:space="preserve"> </w:t>
            </w:r>
            <w:r w:rsidRPr="003C2B48">
              <w:rPr>
                <w:sz w:val="21"/>
                <w:szCs w:val="21"/>
              </w:rPr>
              <w:t>below the published threshold for the transaction</w:t>
            </w:r>
          </w:p>
          <w:p w14:paraId="567F1300" w14:textId="74DD7819" w:rsidR="00BA24F0" w:rsidRPr="00931191" w:rsidRDefault="00BA24F0" w:rsidP="00A8756A">
            <w:pPr>
              <w:pStyle w:val="ListParagraph"/>
              <w:numPr>
                <w:ilvl w:val="0"/>
                <w:numId w:val="74"/>
              </w:numPr>
              <w:rPr>
                <w:b/>
                <w:sz w:val="21"/>
                <w:szCs w:val="21"/>
              </w:rPr>
            </w:pPr>
            <w:r w:rsidRPr="003C2B48">
              <w:rPr>
                <w:sz w:val="21"/>
                <w:szCs w:val="21"/>
              </w:rPr>
              <w:t>1</w:t>
            </w:r>
            <w:r w:rsidR="003C2B48">
              <w:rPr>
                <w:sz w:val="21"/>
                <w:szCs w:val="21"/>
              </w:rPr>
              <w:t>2</w:t>
            </w:r>
            <w:r w:rsidRPr="003C2B48">
              <w:rPr>
                <w:sz w:val="21"/>
                <w:szCs w:val="21"/>
              </w:rPr>
              <w:t xml:space="preserve"> months’ all </w:t>
            </w:r>
            <w:r w:rsidR="00F74B39" w:rsidRPr="003C2B48">
              <w:rPr>
                <w:sz w:val="21"/>
                <w:szCs w:val="21"/>
              </w:rPr>
              <w:t>mortgage payments held in liquid reserves</w:t>
            </w:r>
          </w:p>
          <w:p w14:paraId="6F554034" w14:textId="3A700FA4" w:rsidR="00931191" w:rsidRPr="003C2B48" w:rsidRDefault="00931191" w:rsidP="00A8756A">
            <w:pPr>
              <w:pStyle w:val="ListParagraph"/>
              <w:numPr>
                <w:ilvl w:val="0"/>
                <w:numId w:val="74"/>
              </w:numPr>
              <w:rPr>
                <w:b/>
                <w:sz w:val="21"/>
                <w:szCs w:val="21"/>
              </w:rPr>
            </w:pPr>
            <w:r>
              <w:rPr>
                <w:sz w:val="21"/>
                <w:szCs w:val="21"/>
              </w:rPr>
              <w:t>No gift funds are part of the transaction</w:t>
            </w:r>
          </w:p>
          <w:p w14:paraId="637BC701" w14:textId="77777777" w:rsidR="000016AE" w:rsidRDefault="000016AE">
            <w:pPr>
              <w:contextualSpacing/>
              <w:rPr>
                <w:b/>
                <w:sz w:val="21"/>
                <w:szCs w:val="21"/>
              </w:rPr>
            </w:pPr>
          </w:p>
          <w:p w14:paraId="5BD553E2" w14:textId="77777777" w:rsidR="00D80101" w:rsidRPr="00EC0B05" w:rsidRDefault="00D80101" w:rsidP="00D80101">
            <w:pPr>
              <w:contextualSpacing/>
              <w:rPr>
                <w:w w:val="110"/>
                <w:sz w:val="21"/>
                <w:szCs w:val="21"/>
              </w:rPr>
            </w:pPr>
            <w:r w:rsidRPr="00EC0B05">
              <w:rPr>
                <w:w w:val="110"/>
                <w:sz w:val="21"/>
                <w:szCs w:val="21"/>
              </w:rPr>
              <w:t>Effective LTV is</w:t>
            </w:r>
            <w:r>
              <w:rPr>
                <w:w w:val="110"/>
                <w:sz w:val="21"/>
                <w:szCs w:val="21"/>
              </w:rPr>
              <w:t xml:space="preserve"> calculated by </w:t>
            </w:r>
            <w:r w:rsidRPr="00EC0B05">
              <w:rPr>
                <w:w w:val="110"/>
                <w:sz w:val="21"/>
                <w:szCs w:val="21"/>
              </w:rPr>
              <w:t>dividing the loan amount by the total</w:t>
            </w:r>
            <w:r>
              <w:rPr>
                <w:w w:val="110"/>
                <w:sz w:val="21"/>
                <w:szCs w:val="21"/>
              </w:rPr>
              <w:t>, summed value of both properties.</w:t>
            </w:r>
          </w:p>
          <w:p w14:paraId="21FFED1B" w14:textId="77777777" w:rsidR="00D80101" w:rsidRPr="00EC0B05" w:rsidRDefault="00D80101" w:rsidP="00D80101">
            <w:pPr>
              <w:ind w:left="342"/>
              <w:contextualSpacing/>
              <w:rPr>
                <w:w w:val="110"/>
                <w:sz w:val="21"/>
                <w:szCs w:val="21"/>
              </w:rPr>
            </w:pPr>
            <w:r w:rsidRPr="00EC0B05">
              <w:rPr>
                <w:w w:val="110"/>
                <w:sz w:val="21"/>
                <w:szCs w:val="21"/>
              </w:rPr>
              <w:t>Example: Owner Occupied Property</w:t>
            </w:r>
          </w:p>
          <w:p w14:paraId="7237DCC7" w14:textId="77777777" w:rsidR="00D80101" w:rsidRPr="00EC0B05" w:rsidRDefault="00D80101" w:rsidP="00D80101">
            <w:pPr>
              <w:ind w:left="342"/>
              <w:contextualSpacing/>
              <w:rPr>
                <w:w w:val="110"/>
                <w:sz w:val="21"/>
                <w:szCs w:val="21"/>
              </w:rPr>
            </w:pPr>
            <w:r w:rsidRPr="00EC0B05">
              <w:rPr>
                <w:w w:val="110"/>
                <w:sz w:val="21"/>
                <w:szCs w:val="21"/>
              </w:rPr>
              <w:t>Property A Lesser of Purchase Price or Appraised Value</w:t>
            </w:r>
            <w:r w:rsidRPr="00EC0B05">
              <w:rPr>
                <w:w w:val="110"/>
                <w:sz w:val="21"/>
                <w:szCs w:val="21"/>
              </w:rPr>
              <w:tab/>
              <w:t>$2,000,000</w:t>
            </w:r>
          </w:p>
          <w:p w14:paraId="641DB26E" w14:textId="77777777" w:rsidR="00D80101" w:rsidRPr="00EC0B05" w:rsidRDefault="00D80101" w:rsidP="00D80101">
            <w:pPr>
              <w:ind w:left="342"/>
              <w:contextualSpacing/>
              <w:rPr>
                <w:w w:val="110"/>
                <w:sz w:val="21"/>
                <w:szCs w:val="21"/>
              </w:rPr>
            </w:pPr>
            <w:r>
              <w:rPr>
                <w:w w:val="110"/>
                <w:sz w:val="21"/>
                <w:szCs w:val="21"/>
              </w:rPr>
              <w:t>Property B Appraised Value</w:t>
            </w:r>
            <w:r>
              <w:rPr>
                <w:w w:val="110"/>
                <w:sz w:val="21"/>
                <w:szCs w:val="21"/>
              </w:rPr>
              <w:tab/>
            </w:r>
            <w:r>
              <w:rPr>
                <w:w w:val="110"/>
                <w:sz w:val="21"/>
                <w:szCs w:val="21"/>
              </w:rPr>
              <w:tab/>
            </w:r>
            <w:r>
              <w:rPr>
                <w:w w:val="110"/>
                <w:sz w:val="21"/>
                <w:szCs w:val="21"/>
              </w:rPr>
              <w:tab/>
            </w:r>
            <w:r>
              <w:rPr>
                <w:w w:val="110"/>
                <w:sz w:val="21"/>
                <w:szCs w:val="21"/>
              </w:rPr>
              <w:tab/>
            </w:r>
            <w:r w:rsidRPr="00EC0B05">
              <w:rPr>
                <w:w w:val="110"/>
                <w:sz w:val="21"/>
                <w:szCs w:val="21"/>
              </w:rPr>
              <w:t>$2,000,000</w:t>
            </w:r>
          </w:p>
          <w:p w14:paraId="625314C7" w14:textId="77777777" w:rsidR="00D80101" w:rsidRPr="00EC0B05" w:rsidRDefault="00D80101" w:rsidP="00D80101">
            <w:pPr>
              <w:ind w:left="342"/>
              <w:contextualSpacing/>
              <w:rPr>
                <w:w w:val="110"/>
                <w:sz w:val="21"/>
                <w:szCs w:val="21"/>
              </w:rPr>
            </w:pPr>
            <w:r w:rsidRPr="00EC0B05">
              <w:rPr>
                <w:w w:val="110"/>
                <w:sz w:val="21"/>
                <w:szCs w:val="21"/>
              </w:rPr>
              <w:t>TOTAL VALUE</w:t>
            </w:r>
            <w:r w:rsidRPr="00EC0B05">
              <w:rPr>
                <w:w w:val="110"/>
                <w:sz w:val="21"/>
                <w:szCs w:val="21"/>
              </w:rPr>
              <w:tab/>
              <w:t xml:space="preserve">                                                  </w:t>
            </w:r>
            <w:r>
              <w:rPr>
                <w:w w:val="110"/>
                <w:sz w:val="21"/>
                <w:szCs w:val="21"/>
              </w:rPr>
              <w:t xml:space="preserve">                   </w:t>
            </w:r>
            <w:r w:rsidRPr="00EC0B05">
              <w:rPr>
                <w:w w:val="110"/>
                <w:sz w:val="21"/>
                <w:szCs w:val="21"/>
              </w:rPr>
              <w:t>$4,000,000</w:t>
            </w:r>
          </w:p>
          <w:p w14:paraId="285108EF" w14:textId="77777777" w:rsidR="00D80101" w:rsidRPr="00EC0B05" w:rsidRDefault="00D80101" w:rsidP="00D80101">
            <w:pPr>
              <w:ind w:left="342"/>
              <w:contextualSpacing/>
              <w:rPr>
                <w:w w:val="110"/>
                <w:sz w:val="21"/>
                <w:szCs w:val="21"/>
              </w:rPr>
            </w:pPr>
          </w:p>
          <w:p w14:paraId="47D08F37" w14:textId="77777777" w:rsidR="00D80101" w:rsidRPr="00EC0B05" w:rsidRDefault="00D80101" w:rsidP="00D80101">
            <w:pPr>
              <w:ind w:left="342"/>
              <w:contextualSpacing/>
              <w:rPr>
                <w:w w:val="110"/>
                <w:sz w:val="21"/>
                <w:szCs w:val="21"/>
              </w:rPr>
            </w:pPr>
            <w:r>
              <w:rPr>
                <w:w w:val="110"/>
                <w:sz w:val="21"/>
                <w:szCs w:val="21"/>
              </w:rPr>
              <w:t xml:space="preserve">90% of Purchase Price </w:t>
            </w:r>
            <w:r w:rsidRPr="00EC0B05">
              <w:rPr>
                <w:w w:val="110"/>
                <w:sz w:val="21"/>
                <w:szCs w:val="21"/>
              </w:rPr>
              <w:t>Property A</w:t>
            </w:r>
            <w:r w:rsidRPr="00EC0B05">
              <w:rPr>
                <w:w w:val="110"/>
                <w:sz w:val="21"/>
                <w:szCs w:val="21"/>
              </w:rPr>
              <w:tab/>
            </w:r>
            <w:r w:rsidRPr="00EC0B05">
              <w:rPr>
                <w:w w:val="110"/>
                <w:sz w:val="21"/>
                <w:szCs w:val="21"/>
              </w:rPr>
              <w:tab/>
            </w:r>
            <w:r w:rsidRPr="00EC0B05">
              <w:rPr>
                <w:w w:val="110"/>
                <w:sz w:val="21"/>
                <w:szCs w:val="21"/>
              </w:rPr>
              <w:tab/>
            </w:r>
            <w:r w:rsidRPr="00EC0B05">
              <w:rPr>
                <w:w w:val="110"/>
                <w:sz w:val="21"/>
                <w:szCs w:val="21"/>
              </w:rPr>
              <w:tab/>
              <w:t>$1,800,000</w:t>
            </w:r>
          </w:p>
          <w:p w14:paraId="27131B61" w14:textId="77777777" w:rsidR="00D80101" w:rsidRPr="00EC0B05" w:rsidRDefault="00D80101" w:rsidP="00D80101">
            <w:pPr>
              <w:ind w:left="342"/>
              <w:contextualSpacing/>
              <w:rPr>
                <w:w w:val="110"/>
                <w:sz w:val="21"/>
                <w:szCs w:val="21"/>
              </w:rPr>
            </w:pPr>
            <w:r w:rsidRPr="00EC0B05">
              <w:rPr>
                <w:w w:val="110"/>
                <w:sz w:val="21"/>
                <w:szCs w:val="21"/>
              </w:rPr>
              <w:t xml:space="preserve">Existing Loan Property B                                   </w:t>
            </w:r>
            <w:r>
              <w:rPr>
                <w:w w:val="110"/>
                <w:sz w:val="21"/>
                <w:szCs w:val="21"/>
              </w:rPr>
              <w:t xml:space="preserve">                         </w:t>
            </w:r>
            <w:r w:rsidRPr="00EC0B05">
              <w:rPr>
                <w:w w:val="110"/>
                <w:sz w:val="21"/>
                <w:szCs w:val="21"/>
              </w:rPr>
              <w:t>$    500,000</w:t>
            </w:r>
          </w:p>
          <w:p w14:paraId="230E2F62" w14:textId="77777777" w:rsidR="00D80101" w:rsidRPr="00EC0B05" w:rsidRDefault="00D80101" w:rsidP="00D80101">
            <w:pPr>
              <w:ind w:left="342"/>
              <w:contextualSpacing/>
              <w:rPr>
                <w:w w:val="110"/>
                <w:sz w:val="21"/>
                <w:szCs w:val="21"/>
              </w:rPr>
            </w:pPr>
            <w:r w:rsidRPr="00EC0B05">
              <w:rPr>
                <w:w w:val="110"/>
                <w:sz w:val="21"/>
                <w:szCs w:val="21"/>
              </w:rPr>
              <w:t xml:space="preserve">Loan Amount Required                                     </w:t>
            </w:r>
            <w:r>
              <w:rPr>
                <w:w w:val="110"/>
                <w:sz w:val="21"/>
                <w:szCs w:val="21"/>
              </w:rPr>
              <w:t xml:space="preserve">                         </w:t>
            </w:r>
            <w:r w:rsidRPr="00EC0B05">
              <w:rPr>
                <w:w w:val="110"/>
                <w:sz w:val="21"/>
                <w:szCs w:val="21"/>
              </w:rPr>
              <w:t>$2,300,000</w:t>
            </w:r>
          </w:p>
          <w:p w14:paraId="723C7F97" w14:textId="77777777" w:rsidR="00D80101" w:rsidRPr="00916C53" w:rsidRDefault="00D80101" w:rsidP="00D80101">
            <w:pPr>
              <w:ind w:left="342"/>
              <w:contextualSpacing/>
              <w:rPr>
                <w:b/>
                <w:w w:val="110"/>
                <w:sz w:val="21"/>
                <w:szCs w:val="21"/>
              </w:rPr>
            </w:pPr>
            <w:r w:rsidRPr="00EC0B05">
              <w:rPr>
                <w:b/>
                <w:w w:val="110"/>
                <w:sz w:val="21"/>
                <w:szCs w:val="21"/>
              </w:rPr>
              <w:t>C</w:t>
            </w:r>
            <w:r>
              <w:rPr>
                <w:b/>
                <w:w w:val="110"/>
                <w:sz w:val="21"/>
                <w:szCs w:val="21"/>
              </w:rPr>
              <w:t>ash Required</w:t>
            </w:r>
            <w:r>
              <w:rPr>
                <w:b/>
                <w:w w:val="110"/>
                <w:sz w:val="21"/>
                <w:szCs w:val="21"/>
              </w:rPr>
              <w:tab/>
            </w:r>
            <w:r>
              <w:rPr>
                <w:b/>
                <w:w w:val="110"/>
                <w:sz w:val="21"/>
                <w:szCs w:val="21"/>
              </w:rPr>
              <w:tab/>
            </w:r>
            <w:r>
              <w:rPr>
                <w:b/>
                <w:w w:val="110"/>
                <w:sz w:val="21"/>
                <w:szCs w:val="21"/>
              </w:rPr>
              <w:tab/>
            </w:r>
            <w:r>
              <w:rPr>
                <w:b/>
                <w:w w:val="110"/>
                <w:sz w:val="21"/>
                <w:szCs w:val="21"/>
              </w:rPr>
              <w:tab/>
            </w:r>
            <w:r>
              <w:rPr>
                <w:b/>
                <w:w w:val="110"/>
                <w:sz w:val="21"/>
                <w:szCs w:val="21"/>
              </w:rPr>
              <w:tab/>
              <w:t xml:space="preserve">             $    200,000</w:t>
            </w:r>
          </w:p>
          <w:p w14:paraId="54B5C1B6" w14:textId="15F7BE84" w:rsidR="00D80101" w:rsidRPr="00EC0B05" w:rsidRDefault="00D80101" w:rsidP="00D80101">
            <w:pPr>
              <w:contextualSpacing/>
              <w:rPr>
                <w:b/>
                <w:sz w:val="21"/>
                <w:szCs w:val="21"/>
              </w:rPr>
            </w:pPr>
            <w:r w:rsidRPr="00EC0B05">
              <w:rPr>
                <w:w w:val="110"/>
                <w:sz w:val="21"/>
                <w:szCs w:val="21"/>
              </w:rPr>
              <w:t>Effective LTV                                                                                       57.5%</w:t>
            </w:r>
          </w:p>
          <w:p w14:paraId="4210F844" w14:textId="77777777" w:rsidR="00B6229D" w:rsidRDefault="00B6229D">
            <w:pPr>
              <w:contextualSpacing/>
              <w:rPr>
                <w:b/>
                <w:sz w:val="21"/>
                <w:szCs w:val="21"/>
              </w:rPr>
            </w:pPr>
          </w:p>
          <w:p w14:paraId="1E8E6A9A" w14:textId="372E766B" w:rsidR="000016AE" w:rsidRPr="00EC0B05" w:rsidRDefault="000C582C">
            <w:pPr>
              <w:contextualSpacing/>
              <w:rPr>
                <w:sz w:val="21"/>
                <w:szCs w:val="21"/>
              </w:rPr>
            </w:pPr>
            <w:r>
              <w:rPr>
                <w:b/>
                <w:sz w:val="21"/>
                <w:szCs w:val="21"/>
              </w:rPr>
              <w:t>Other Cross Collateral Requirements</w:t>
            </w:r>
            <w:r w:rsidR="000016AE" w:rsidRPr="00EC0B05">
              <w:rPr>
                <w:sz w:val="21"/>
                <w:szCs w:val="21"/>
              </w:rPr>
              <w:t>:</w:t>
            </w:r>
            <w:r w:rsidR="000016AE" w:rsidRPr="00EC0B05">
              <w:rPr>
                <w:sz w:val="21"/>
                <w:szCs w:val="21"/>
              </w:rPr>
              <w:tab/>
            </w:r>
            <w:r w:rsidR="000016AE" w:rsidRPr="00EC0B05">
              <w:rPr>
                <w:sz w:val="21"/>
                <w:szCs w:val="21"/>
              </w:rPr>
              <w:tab/>
            </w:r>
          </w:p>
          <w:p w14:paraId="504EFDE5" w14:textId="0C81A55D" w:rsidR="000C582C" w:rsidRDefault="000C582C" w:rsidP="00A8756A">
            <w:pPr>
              <w:pStyle w:val="ListParagraph"/>
              <w:numPr>
                <w:ilvl w:val="0"/>
                <w:numId w:val="75"/>
              </w:numPr>
              <w:rPr>
                <w:w w:val="110"/>
                <w:sz w:val="21"/>
                <w:szCs w:val="21"/>
              </w:rPr>
            </w:pPr>
            <w:r>
              <w:rPr>
                <w:w w:val="110"/>
                <w:sz w:val="21"/>
                <w:szCs w:val="21"/>
              </w:rPr>
              <w:t>Primary r</w:t>
            </w:r>
            <w:r w:rsidR="000016AE" w:rsidRPr="000C582C">
              <w:rPr>
                <w:w w:val="110"/>
                <w:sz w:val="21"/>
                <w:szCs w:val="21"/>
              </w:rPr>
              <w:t>esi</w:t>
            </w:r>
            <w:r>
              <w:rPr>
                <w:w w:val="110"/>
                <w:sz w:val="21"/>
                <w:szCs w:val="21"/>
              </w:rPr>
              <w:t>dences, s</w:t>
            </w:r>
            <w:r w:rsidR="000016AE" w:rsidRPr="000C582C">
              <w:rPr>
                <w:w w:val="110"/>
                <w:sz w:val="21"/>
                <w:szCs w:val="21"/>
              </w:rPr>
              <w:t xml:space="preserve">econd </w:t>
            </w:r>
            <w:r>
              <w:rPr>
                <w:w w:val="110"/>
                <w:sz w:val="21"/>
                <w:szCs w:val="21"/>
              </w:rPr>
              <w:t>homes, and i</w:t>
            </w:r>
            <w:r w:rsidR="00916C53" w:rsidRPr="000C582C">
              <w:rPr>
                <w:w w:val="110"/>
                <w:sz w:val="21"/>
                <w:szCs w:val="21"/>
              </w:rPr>
              <w:t xml:space="preserve">nvestment </w:t>
            </w:r>
            <w:r>
              <w:rPr>
                <w:w w:val="110"/>
                <w:sz w:val="21"/>
                <w:szCs w:val="21"/>
              </w:rPr>
              <w:t>p</w:t>
            </w:r>
            <w:r w:rsidR="00916C53" w:rsidRPr="000C582C">
              <w:rPr>
                <w:w w:val="110"/>
                <w:sz w:val="21"/>
                <w:szCs w:val="21"/>
              </w:rPr>
              <w:t>roperties</w:t>
            </w:r>
            <w:r>
              <w:rPr>
                <w:w w:val="110"/>
                <w:sz w:val="21"/>
                <w:szCs w:val="21"/>
              </w:rPr>
              <w:t xml:space="preserve"> may be crossed with the subject</w:t>
            </w:r>
            <w:r w:rsidR="00916C53" w:rsidRPr="000C582C">
              <w:rPr>
                <w:w w:val="110"/>
                <w:sz w:val="21"/>
                <w:szCs w:val="21"/>
              </w:rPr>
              <w:t xml:space="preserve">; </w:t>
            </w:r>
          </w:p>
          <w:p w14:paraId="589C4560" w14:textId="0E603FAF" w:rsidR="000016AE" w:rsidRPr="000C582C" w:rsidRDefault="000C582C" w:rsidP="00A8756A">
            <w:pPr>
              <w:pStyle w:val="ListParagraph"/>
              <w:numPr>
                <w:ilvl w:val="1"/>
                <w:numId w:val="75"/>
              </w:numPr>
              <w:rPr>
                <w:w w:val="110"/>
                <w:sz w:val="21"/>
                <w:szCs w:val="21"/>
              </w:rPr>
            </w:pPr>
            <w:r>
              <w:rPr>
                <w:w w:val="110"/>
                <w:sz w:val="21"/>
                <w:szCs w:val="21"/>
              </w:rPr>
              <w:t>NOTE: properties located</w:t>
            </w:r>
            <w:r w:rsidR="000016AE" w:rsidRPr="000C582C">
              <w:rPr>
                <w:w w:val="110"/>
                <w:sz w:val="21"/>
                <w:szCs w:val="21"/>
              </w:rPr>
              <w:t xml:space="preserve"> in Washington DC, West Virginia, and Virginia</w:t>
            </w:r>
            <w:r>
              <w:rPr>
                <w:w w:val="110"/>
                <w:sz w:val="21"/>
                <w:szCs w:val="21"/>
              </w:rPr>
              <w:t xml:space="preserve"> may not be used for a cross</w:t>
            </w:r>
            <w:r w:rsidR="000016AE" w:rsidRPr="000C582C">
              <w:rPr>
                <w:w w:val="110"/>
                <w:sz w:val="21"/>
                <w:szCs w:val="21"/>
              </w:rPr>
              <w:t>.</w:t>
            </w:r>
          </w:p>
          <w:p w14:paraId="6B789893" w14:textId="1D77D526" w:rsidR="000016AE" w:rsidRPr="00F80739" w:rsidRDefault="000016AE" w:rsidP="00A8756A">
            <w:pPr>
              <w:pStyle w:val="ListParagraph"/>
              <w:numPr>
                <w:ilvl w:val="0"/>
                <w:numId w:val="33"/>
              </w:numPr>
              <w:ind w:left="702"/>
              <w:rPr>
                <w:w w:val="110"/>
                <w:sz w:val="21"/>
                <w:szCs w:val="21"/>
              </w:rPr>
            </w:pPr>
            <w:r w:rsidRPr="00EC0B05">
              <w:rPr>
                <w:w w:val="110"/>
                <w:sz w:val="21"/>
                <w:szCs w:val="21"/>
              </w:rPr>
              <w:t>The second piece of real estate must be owned by the borrower;</w:t>
            </w:r>
          </w:p>
          <w:p w14:paraId="0C821FD7" w14:textId="5386442F" w:rsidR="000016AE" w:rsidRPr="00EC0B05" w:rsidRDefault="002D1DA1" w:rsidP="00A8756A">
            <w:pPr>
              <w:pStyle w:val="ListParagraph"/>
              <w:numPr>
                <w:ilvl w:val="0"/>
                <w:numId w:val="33"/>
              </w:numPr>
              <w:ind w:left="702"/>
              <w:rPr>
                <w:w w:val="110"/>
                <w:sz w:val="21"/>
                <w:szCs w:val="21"/>
              </w:rPr>
            </w:pPr>
            <w:r>
              <w:rPr>
                <w:w w:val="110"/>
                <w:sz w:val="21"/>
                <w:szCs w:val="21"/>
              </w:rPr>
              <w:t>Axos Bank</w:t>
            </w:r>
            <w:r w:rsidR="000016AE" w:rsidRPr="00EC0B05">
              <w:rPr>
                <w:w w:val="110"/>
                <w:sz w:val="21"/>
                <w:szCs w:val="21"/>
              </w:rPr>
              <w:t xml:space="preserve"> should be in first lien position on both properties (deviations from the guideline are allowed, if there is an abundance of equity).  These deviations must be reasonable and well-documented;</w:t>
            </w:r>
          </w:p>
          <w:p w14:paraId="770C25E3" w14:textId="1310E2C1" w:rsidR="000016AE" w:rsidRDefault="000016AE" w:rsidP="00A8756A">
            <w:pPr>
              <w:pStyle w:val="ListParagraph"/>
              <w:numPr>
                <w:ilvl w:val="0"/>
                <w:numId w:val="33"/>
              </w:numPr>
              <w:ind w:left="702"/>
              <w:rPr>
                <w:w w:val="110"/>
                <w:sz w:val="21"/>
                <w:szCs w:val="21"/>
              </w:rPr>
            </w:pPr>
            <w:r w:rsidRPr="00EC0B05">
              <w:rPr>
                <w:w w:val="110"/>
                <w:sz w:val="21"/>
                <w:szCs w:val="21"/>
              </w:rPr>
              <w:t>An appraisal report will be required from an approved AMC for both properties</w:t>
            </w:r>
            <w:r w:rsidR="005B6AB8">
              <w:rPr>
                <w:w w:val="110"/>
                <w:sz w:val="21"/>
                <w:szCs w:val="21"/>
              </w:rPr>
              <w:t xml:space="preserve"> as follows:</w:t>
            </w:r>
          </w:p>
          <w:p w14:paraId="60C8207F" w14:textId="12FCCEBC" w:rsidR="005B6AB8" w:rsidRDefault="005B6AB8" w:rsidP="00A8756A">
            <w:pPr>
              <w:pStyle w:val="ListParagraph"/>
              <w:numPr>
                <w:ilvl w:val="1"/>
                <w:numId w:val="33"/>
              </w:numPr>
              <w:rPr>
                <w:w w:val="110"/>
                <w:sz w:val="21"/>
                <w:szCs w:val="21"/>
              </w:rPr>
            </w:pPr>
            <w:r>
              <w:rPr>
                <w:w w:val="110"/>
                <w:sz w:val="21"/>
                <w:szCs w:val="21"/>
              </w:rPr>
              <w:t>For loan amounts up to $1 million: one report for the subject property and one for the cross property</w:t>
            </w:r>
          </w:p>
          <w:p w14:paraId="37C11B64" w14:textId="3064ADAE" w:rsidR="005B6AB8" w:rsidRPr="00EC0B05" w:rsidRDefault="005B6AB8" w:rsidP="00A8756A">
            <w:pPr>
              <w:pStyle w:val="ListParagraph"/>
              <w:numPr>
                <w:ilvl w:val="1"/>
                <w:numId w:val="33"/>
              </w:numPr>
              <w:rPr>
                <w:w w:val="110"/>
                <w:sz w:val="21"/>
                <w:szCs w:val="21"/>
              </w:rPr>
            </w:pPr>
            <w:r>
              <w:rPr>
                <w:w w:val="110"/>
                <w:sz w:val="21"/>
                <w:szCs w:val="21"/>
              </w:rPr>
              <w:t xml:space="preserve">For loan amounts over $1 million: two reports for the subject property and </w:t>
            </w:r>
            <w:r w:rsidR="002C6D41">
              <w:rPr>
                <w:w w:val="110"/>
                <w:sz w:val="21"/>
                <w:szCs w:val="21"/>
              </w:rPr>
              <w:t>one</w:t>
            </w:r>
            <w:r>
              <w:rPr>
                <w:w w:val="110"/>
                <w:sz w:val="21"/>
                <w:szCs w:val="21"/>
              </w:rPr>
              <w:t xml:space="preserve"> for the cross property</w:t>
            </w:r>
          </w:p>
          <w:p w14:paraId="28166ACE" w14:textId="2D3E51FE" w:rsidR="000016AE" w:rsidRPr="00EC0B05" w:rsidRDefault="000016AE" w:rsidP="00A8756A">
            <w:pPr>
              <w:pStyle w:val="ListParagraph"/>
              <w:numPr>
                <w:ilvl w:val="0"/>
                <w:numId w:val="33"/>
              </w:numPr>
              <w:ind w:left="702"/>
              <w:rPr>
                <w:w w:val="110"/>
                <w:sz w:val="21"/>
                <w:szCs w:val="21"/>
              </w:rPr>
            </w:pPr>
            <w:r w:rsidRPr="00EC0B05">
              <w:rPr>
                <w:w w:val="110"/>
                <w:sz w:val="21"/>
                <w:szCs w:val="21"/>
              </w:rPr>
              <w:t xml:space="preserve">A preliminary title report is required with lender’s coverage on both properties; </w:t>
            </w:r>
          </w:p>
          <w:p w14:paraId="7F0C25B1" w14:textId="77777777" w:rsidR="00F53860" w:rsidRPr="00EC0B05" w:rsidRDefault="00F53860" w:rsidP="00A8756A">
            <w:pPr>
              <w:pStyle w:val="ListParagraph"/>
              <w:numPr>
                <w:ilvl w:val="0"/>
                <w:numId w:val="33"/>
              </w:numPr>
              <w:ind w:left="702"/>
              <w:rPr>
                <w:w w:val="110"/>
                <w:sz w:val="21"/>
                <w:szCs w:val="21"/>
              </w:rPr>
            </w:pPr>
            <w:r w:rsidRPr="00EC0B05">
              <w:rPr>
                <w:w w:val="110"/>
                <w:sz w:val="21"/>
                <w:szCs w:val="21"/>
              </w:rPr>
              <w:t>Proof of hazard insurance for both properties</w:t>
            </w:r>
          </w:p>
          <w:p w14:paraId="100EF4BC" w14:textId="77777777" w:rsidR="00F53860" w:rsidRPr="00EC0B05" w:rsidRDefault="00F53860" w:rsidP="00A8756A">
            <w:pPr>
              <w:pStyle w:val="ListParagraph"/>
              <w:numPr>
                <w:ilvl w:val="0"/>
                <w:numId w:val="33"/>
              </w:numPr>
              <w:ind w:left="702"/>
              <w:rPr>
                <w:w w:val="110"/>
                <w:sz w:val="21"/>
                <w:szCs w:val="21"/>
              </w:rPr>
            </w:pPr>
            <w:r w:rsidRPr="00EC0B05">
              <w:rPr>
                <w:w w:val="110"/>
                <w:sz w:val="21"/>
                <w:szCs w:val="21"/>
              </w:rPr>
              <w:t xml:space="preserve">Proof of </w:t>
            </w:r>
            <w:r w:rsidR="00A7449A" w:rsidRPr="00EC0B05">
              <w:rPr>
                <w:w w:val="110"/>
                <w:sz w:val="21"/>
                <w:szCs w:val="21"/>
              </w:rPr>
              <w:t>f</w:t>
            </w:r>
            <w:r w:rsidRPr="00EC0B05">
              <w:rPr>
                <w:w w:val="110"/>
                <w:sz w:val="21"/>
                <w:szCs w:val="21"/>
              </w:rPr>
              <w:t>lood insurance for both properties (if applicable)</w:t>
            </w:r>
          </w:p>
          <w:p w14:paraId="28CF8679" w14:textId="77777777" w:rsidR="00F53860" w:rsidRPr="00EC0B05" w:rsidRDefault="003225C7" w:rsidP="00A8756A">
            <w:pPr>
              <w:pStyle w:val="ListParagraph"/>
              <w:numPr>
                <w:ilvl w:val="0"/>
                <w:numId w:val="33"/>
              </w:numPr>
              <w:ind w:left="702"/>
              <w:rPr>
                <w:w w:val="110"/>
                <w:sz w:val="21"/>
                <w:szCs w:val="21"/>
              </w:rPr>
            </w:pPr>
            <w:r w:rsidRPr="00EC0B05">
              <w:rPr>
                <w:w w:val="110"/>
                <w:sz w:val="21"/>
                <w:szCs w:val="21"/>
              </w:rPr>
              <w:lastRenderedPageBreak/>
              <w:t>Property taxes due</w:t>
            </w:r>
            <w:r w:rsidR="00F53860" w:rsidRPr="00EC0B05">
              <w:rPr>
                <w:w w:val="110"/>
                <w:sz w:val="21"/>
                <w:szCs w:val="21"/>
              </w:rPr>
              <w:t xml:space="preserve"> within 60 days </w:t>
            </w:r>
            <w:r w:rsidRPr="00EC0B05">
              <w:rPr>
                <w:w w:val="110"/>
                <w:sz w:val="21"/>
                <w:szCs w:val="21"/>
              </w:rPr>
              <w:t xml:space="preserve">must be paid current </w:t>
            </w:r>
            <w:r w:rsidR="00F53860" w:rsidRPr="00EC0B05">
              <w:rPr>
                <w:w w:val="110"/>
                <w:sz w:val="21"/>
                <w:szCs w:val="21"/>
              </w:rPr>
              <w:t>on both properties</w:t>
            </w:r>
          </w:p>
          <w:p w14:paraId="3C668FF2" w14:textId="3AD8D58D" w:rsidR="00F53860" w:rsidRDefault="00F532A3" w:rsidP="00A8756A">
            <w:pPr>
              <w:pStyle w:val="ListParagraph"/>
              <w:numPr>
                <w:ilvl w:val="0"/>
                <w:numId w:val="33"/>
              </w:numPr>
              <w:ind w:left="702"/>
              <w:rPr>
                <w:w w:val="110"/>
                <w:sz w:val="21"/>
                <w:szCs w:val="21"/>
              </w:rPr>
            </w:pPr>
            <w:r w:rsidRPr="00EC0B05">
              <w:rPr>
                <w:w w:val="110"/>
                <w:sz w:val="21"/>
                <w:szCs w:val="21"/>
              </w:rPr>
              <w:t xml:space="preserve">2 </w:t>
            </w:r>
            <w:r w:rsidR="00F53860" w:rsidRPr="00EC0B05">
              <w:rPr>
                <w:w w:val="110"/>
                <w:sz w:val="21"/>
                <w:szCs w:val="21"/>
              </w:rPr>
              <w:t>recording fees if properties are located in different counties</w:t>
            </w:r>
          </w:p>
          <w:p w14:paraId="67CE5395" w14:textId="52039BE9" w:rsidR="000016AE" w:rsidRPr="007B4A1A" w:rsidRDefault="000016AE" w:rsidP="00A8756A">
            <w:pPr>
              <w:pStyle w:val="ListParagraph"/>
              <w:numPr>
                <w:ilvl w:val="0"/>
                <w:numId w:val="33"/>
              </w:numPr>
              <w:ind w:left="702"/>
              <w:rPr>
                <w:w w:val="110"/>
                <w:sz w:val="21"/>
                <w:szCs w:val="21"/>
              </w:rPr>
            </w:pPr>
            <w:r w:rsidRPr="007B4A1A">
              <w:rPr>
                <w:w w:val="110"/>
                <w:sz w:val="21"/>
                <w:szCs w:val="21"/>
              </w:rPr>
              <w:t>One note and one mortgage will be executed and will be recorded against both properties for the total loan amount (unless the properties are in different counties in which case 2 mortgages will be r</w:t>
            </w:r>
            <w:r w:rsidR="00916C53" w:rsidRPr="007B4A1A">
              <w:rPr>
                <w:w w:val="110"/>
                <w:sz w:val="21"/>
                <w:szCs w:val="21"/>
              </w:rPr>
              <w:t>ecorded – 2 recording fees)</w:t>
            </w:r>
          </w:p>
        </w:tc>
      </w:tr>
      <w:tr w:rsidR="00EC0B05" w:rsidRPr="00EC0B05" w14:paraId="35DAD0F2" w14:textId="77777777" w:rsidTr="0063752F">
        <w:tc>
          <w:tcPr>
            <w:tcW w:w="1336" w:type="pct"/>
          </w:tcPr>
          <w:p w14:paraId="7212B292" w14:textId="78938EDC" w:rsidR="000016AE" w:rsidRPr="00EC0B05" w:rsidRDefault="000016AE" w:rsidP="00471F7C">
            <w:pPr>
              <w:rPr>
                <w:b/>
                <w:sz w:val="21"/>
                <w:szCs w:val="21"/>
              </w:rPr>
            </w:pPr>
            <w:bookmarkStart w:id="35" w:name="defreered_debtinstall"/>
            <w:r w:rsidRPr="00EC0B05">
              <w:rPr>
                <w:b/>
                <w:sz w:val="21"/>
                <w:szCs w:val="21"/>
              </w:rPr>
              <w:lastRenderedPageBreak/>
              <w:t>Deferred Installment Debt</w:t>
            </w:r>
            <w:bookmarkEnd w:id="35"/>
          </w:p>
        </w:tc>
        <w:tc>
          <w:tcPr>
            <w:tcW w:w="3664" w:type="pct"/>
          </w:tcPr>
          <w:p w14:paraId="52598C70" w14:textId="7816AFD3" w:rsidR="000016AE" w:rsidRPr="00EC0B05" w:rsidRDefault="000016AE">
            <w:pPr>
              <w:contextualSpacing/>
              <w:rPr>
                <w:sz w:val="21"/>
                <w:szCs w:val="21"/>
              </w:rPr>
            </w:pPr>
            <w:r w:rsidRPr="00EC0B05">
              <w:rPr>
                <w:w w:val="110"/>
                <w:sz w:val="21"/>
                <w:szCs w:val="21"/>
              </w:rPr>
              <w:t>Deferred installment debts must be included as part of the borrower’s recurring monthly debt obligations.  For deferred installment debts, other than student loans, if the borrower’s credit report does not indicate the monthly amount that will be payable at t</w:t>
            </w:r>
            <w:r w:rsidR="00D95950">
              <w:rPr>
                <w:w w:val="110"/>
                <w:sz w:val="21"/>
                <w:szCs w:val="21"/>
              </w:rPr>
              <w:t>he end of the deferment period,</w:t>
            </w:r>
            <w:r w:rsidRPr="00EC0B05">
              <w:rPr>
                <w:w w:val="110"/>
                <w:sz w:val="21"/>
                <w:szCs w:val="21"/>
              </w:rPr>
              <w:t xml:space="preserve"> copies should be obtained of the borrower’s payment letters or forbearance agreements, so that a monthly payment amount can be determined and utilized in calculating the borrower’s total monthly obligations.</w:t>
            </w:r>
            <w:r w:rsidRPr="00EC0B05">
              <w:rPr>
                <w:sz w:val="21"/>
                <w:szCs w:val="21"/>
              </w:rPr>
              <w:t xml:space="preserve"> </w:t>
            </w:r>
          </w:p>
          <w:p w14:paraId="506D9933" w14:textId="77777777" w:rsidR="00A37D73" w:rsidRPr="00EC0B05" w:rsidRDefault="00A37D73">
            <w:pPr>
              <w:contextualSpacing/>
              <w:rPr>
                <w:sz w:val="21"/>
                <w:szCs w:val="21"/>
              </w:rPr>
            </w:pPr>
          </w:p>
          <w:p w14:paraId="179B24AD" w14:textId="77777777" w:rsidR="00A37D73" w:rsidRPr="00EC0B05" w:rsidRDefault="00A37D73">
            <w:pPr>
              <w:contextualSpacing/>
              <w:rPr>
                <w:b/>
                <w:sz w:val="21"/>
                <w:szCs w:val="21"/>
              </w:rPr>
            </w:pPr>
            <w:r w:rsidRPr="00EC0B05">
              <w:rPr>
                <w:w w:val="110"/>
                <w:sz w:val="21"/>
                <w:szCs w:val="21"/>
              </w:rPr>
              <w:t>Deferred student loan payments will not be included as a recurring monthly expense unless repayment begins within 12 months of the conditional approval date.</w:t>
            </w:r>
          </w:p>
        </w:tc>
      </w:tr>
      <w:tr w:rsidR="00EC0B05" w:rsidRPr="00EC0B05" w14:paraId="4FEDFF9D" w14:textId="77777777" w:rsidTr="0063752F">
        <w:tc>
          <w:tcPr>
            <w:tcW w:w="1336" w:type="pct"/>
          </w:tcPr>
          <w:p w14:paraId="268EB46C" w14:textId="77777777" w:rsidR="000016AE" w:rsidRPr="00EC0B05" w:rsidRDefault="000016AE" w:rsidP="00471F7C">
            <w:pPr>
              <w:rPr>
                <w:b/>
                <w:sz w:val="21"/>
                <w:szCs w:val="21"/>
              </w:rPr>
            </w:pPr>
            <w:bookmarkStart w:id="36" w:name="deposit_accts"/>
            <w:r w:rsidRPr="00EC0B05">
              <w:rPr>
                <w:b/>
                <w:sz w:val="21"/>
                <w:szCs w:val="21"/>
              </w:rPr>
              <w:t>Depository Accounts</w:t>
            </w:r>
            <w:bookmarkEnd w:id="36"/>
          </w:p>
        </w:tc>
        <w:tc>
          <w:tcPr>
            <w:tcW w:w="3664" w:type="pct"/>
          </w:tcPr>
          <w:p w14:paraId="4BAC6B46" w14:textId="77777777" w:rsidR="000016AE" w:rsidRPr="00EC0B05" w:rsidRDefault="000016AE" w:rsidP="00471F7C">
            <w:pPr>
              <w:contextualSpacing/>
              <w:rPr>
                <w:w w:val="105"/>
                <w:sz w:val="21"/>
                <w:szCs w:val="21"/>
              </w:rPr>
            </w:pPr>
            <w:r w:rsidRPr="00EC0B05">
              <w:rPr>
                <w:w w:val="105"/>
                <w:sz w:val="21"/>
                <w:szCs w:val="21"/>
              </w:rPr>
              <w:t xml:space="preserve">Funds held in a checking, savings, money market, certificate of deposit, or other depository accounts may be utilized for the down payment, closing costs, and financial reserves.  The funds must be verified. Unverified funds are not acceptable for the down payment, closing costs, or financial reserves.  Any indications of borrowed funds must be investigated.  </w:t>
            </w:r>
          </w:p>
          <w:p w14:paraId="309C46AE" w14:textId="77777777" w:rsidR="000016AE" w:rsidRPr="00EC0B05" w:rsidRDefault="000016AE" w:rsidP="00471F7C">
            <w:pPr>
              <w:pStyle w:val="BodyText"/>
              <w:tabs>
                <w:tab w:val="left" w:pos="3012"/>
              </w:tabs>
              <w:kinsoku w:val="0"/>
              <w:overflowPunct w:val="0"/>
              <w:spacing w:before="7"/>
              <w:rPr>
                <w:rFonts w:asciiTheme="minorHAnsi" w:eastAsiaTheme="minorHAnsi" w:hAnsiTheme="minorHAnsi" w:cstheme="minorBidi"/>
                <w:w w:val="105"/>
              </w:rPr>
            </w:pPr>
          </w:p>
          <w:p w14:paraId="76504A6A" w14:textId="77777777" w:rsidR="000016AE" w:rsidRPr="00EC0B05" w:rsidRDefault="000016AE" w:rsidP="00471F7C">
            <w:pPr>
              <w:autoSpaceDE w:val="0"/>
              <w:autoSpaceDN w:val="0"/>
              <w:adjustRightInd w:val="0"/>
              <w:contextualSpacing/>
              <w:jc w:val="both"/>
              <w:rPr>
                <w:w w:val="105"/>
                <w:sz w:val="21"/>
                <w:szCs w:val="21"/>
              </w:rPr>
            </w:pPr>
            <w:r w:rsidRPr="00EC0B05">
              <w:rPr>
                <w:w w:val="105"/>
                <w:sz w:val="21"/>
                <w:szCs w:val="21"/>
              </w:rPr>
              <w:t>It is acceptable to utilize two months or quarterly account statements, to verify that a borrower has sufficient funds for closing, down payment, and/or financial reserves.  This documentation should include the following information:</w:t>
            </w:r>
          </w:p>
          <w:p w14:paraId="0143B01C" w14:textId="77777777" w:rsidR="000016AE" w:rsidRPr="00EC0B05" w:rsidRDefault="000016AE" w:rsidP="00A8756A">
            <w:pPr>
              <w:pStyle w:val="ListParagraph"/>
              <w:numPr>
                <w:ilvl w:val="0"/>
                <w:numId w:val="18"/>
              </w:numPr>
              <w:ind w:left="702"/>
              <w:rPr>
                <w:w w:val="105"/>
                <w:sz w:val="21"/>
                <w:szCs w:val="21"/>
              </w:rPr>
            </w:pPr>
            <w:r w:rsidRPr="00EC0B05">
              <w:rPr>
                <w:w w:val="105"/>
                <w:sz w:val="21"/>
                <w:szCs w:val="21"/>
              </w:rPr>
              <w:t>Clearly identify the borrower as the account holder;</w:t>
            </w:r>
          </w:p>
          <w:p w14:paraId="1CC7CF5B" w14:textId="77777777" w:rsidR="000016AE" w:rsidRPr="00EC0B05" w:rsidRDefault="000016AE" w:rsidP="00A8756A">
            <w:pPr>
              <w:pStyle w:val="ListParagraph"/>
              <w:numPr>
                <w:ilvl w:val="0"/>
                <w:numId w:val="18"/>
              </w:numPr>
              <w:ind w:left="702"/>
              <w:rPr>
                <w:w w:val="105"/>
                <w:sz w:val="21"/>
                <w:szCs w:val="21"/>
              </w:rPr>
            </w:pPr>
            <w:r w:rsidRPr="00EC0B05">
              <w:rPr>
                <w:w w:val="105"/>
                <w:sz w:val="21"/>
                <w:szCs w:val="21"/>
              </w:rPr>
              <w:t>Include the account number;</w:t>
            </w:r>
          </w:p>
          <w:p w14:paraId="386A9DD8" w14:textId="77777777" w:rsidR="000016AE" w:rsidRPr="00EC0B05" w:rsidRDefault="000016AE" w:rsidP="00A8756A">
            <w:pPr>
              <w:pStyle w:val="ListParagraph"/>
              <w:numPr>
                <w:ilvl w:val="0"/>
                <w:numId w:val="18"/>
              </w:numPr>
              <w:ind w:left="702"/>
              <w:rPr>
                <w:w w:val="105"/>
                <w:sz w:val="21"/>
                <w:szCs w:val="21"/>
              </w:rPr>
            </w:pPr>
            <w:r w:rsidRPr="00EC0B05">
              <w:rPr>
                <w:w w:val="105"/>
                <w:sz w:val="21"/>
                <w:szCs w:val="21"/>
              </w:rPr>
              <w:t>Include the time period covered by the statement;</w:t>
            </w:r>
          </w:p>
          <w:p w14:paraId="6D3626E5" w14:textId="77777777" w:rsidR="000016AE" w:rsidRPr="00EC0B05" w:rsidRDefault="000016AE" w:rsidP="00A8756A">
            <w:pPr>
              <w:pStyle w:val="ListParagraph"/>
              <w:numPr>
                <w:ilvl w:val="0"/>
                <w:numId w:val="18"/>
              </w:numPr>
              <w:ind w:left="702"/>
              <w:rPr>
                <w:w w:val="105"/>
                <w:sz w:val="21"/>
                <w:szCs w:val="21"/>
              </w:rPr>
            </w:pPr>
            <w:r w:rsidRPr="00EC0B05">
              <w:rPr>
                <w:w w:val="105"/>
                <w:sz w:val="21"/>
                <w:szCs w:val="21"/>
              </w:rPr>
              <w:t>Include all deposits and withdrawal transactions (for depository accounts);</w:t>
            </w:r>
          </w:p>
          <w:p w14:paraId="517F02FF" w14:textId="7B7C958A" w:rsidR="000016AE" w:rsidRPr="00EC0B05" w:rsidRDefault="000016AE" w:rsidP="00A8756A">
            <w:pPr>
              <w:pStyle w:val="ListParagraph"/>
              <w:numPr>
                <w:ilvl w:val="0"/>
                <w:numId w:val="18"/>
              </w:numPr>
              <w:ind w:left="702"/>
              <w:rPr>
                <w:w w:val="105"/>
                <w:sz w:val="21"/>
                <w:szCs w:val="21"/>
              </w:rPr>
            </w:pPr>
            <w:r w:rsidRPr="00EC0B05">
              <w:rPr>
                <w:w w:val="105"/>
                <w:sz w:val="21"/>
                <w:szCs w:val="21"/>
              </w:rPr>
              <w:t>Include all purchase and sale transactions (for fi</w:t>
            </w:r>
            <w:r w:rsidR="007F09F9">
              <w:rPr>
                <w:w w:val="105"/>
                <w:sz w:val="21"/>
                <w:szCs w:val="21"/>
              </w:rPr>
              <w:t>nancial portfolio accounts);</w:t>
            </w:r>
          </w:p>
          <w:p w14:paraId="10A2C862" w14:textId="77777777" w:rsidR="000016AE" w:rsidRPr="00EC0B05" w:rsidRDefault="000016AE" w:rsidP="00A8756A">
            <w:pPr>
              <w:pStyle w:val="ListParagraph"/>
              <w:numPr>
                <w:ilvl w:val="0"/>
                <w:numId w:val="18"/>
              </w:numPr>
              <w:ind w:left="702"/>
              <w:rPr>
                <w:w w:val="105"/>
                <w:sz w:val="21"/>
                <w:szCs w:val="21"/>
              </w:rPr>
            </w:pPr>
            <w:r w:rsidRPr="00EC0B05">
              <w:rPr>
                <w:w w:val="105"/>
                <w:sz w:val="21"/>
                <w:szCs w:val="21"/>
              </w:rPr>
              <w:t>Include the ending account balance.</w:t>
            </w:r>
          </w:p>
        </w:tc>
      </w:tr>
      <w:tr w:rsidR="00EC0B05" w:rsidRPr="00EC0B05" w14:paraId="2366FD49" w14:textId="77777777" w:rsidTr="0063752F">
        <w:tc>
          <w:tcPr>
            <w:tcW w:w="1336" w:type="pct"/>
          </w:tcPr>
          <w:p w14:paraId="787403B9" w14:textId="77777777" w:rsidR="000016AE" w:rsidRPr="00EC0B05" w:rsidRDefault="000016AE" w:rsidP="00471F7C">
            <w:pPr>
              <w:rPr>
                <w:b/>
                <w:w w:val="110"/>
                <w:sz w:val="21"/>
                <w:szCs w:val="21"/>
              </w:rPr>
            </w:pPr>
            <w:bookmarkStart w:id="37" w:name="div_int"/>
            <w:r w:rsidRPr="00EC0B05">
              <w:rPr>
                <w:b/>
                <w:w w:val="110"/>
                <w:sz w:val="21"/>
                <w:szCs w:val="21"/>
              </w:rPr>
              <w:t>Dividend/</w:t>
            </w:r>
          </w:p>
          <w:p w14:paraId="15BFBA4F" w14:textId="77777777" w:rsidR="000016AE" w:rsidRPr="00EC0B05" w:rsidRDefault="000016AE">
            <w:pPr>
              <w:rPr>
                <w:b/>
                <w:w w:val="110"/>
                <w:sz w:val="21"/>
                <w:szCs w:val="21"/>
              </w:rPr>
            </w:pPr>
            <w:r w:rsidRPr="00EC0B05">
              <w:rPr>
                <w:b/>
                <w:w w:val="110"/>
                <w:sz w:val="21"/>
                <w:szCs w:val="21"/>
              </w:rPr>
              <w:t>Interest</w:t>
            </w:r>
            <w:bookmarkEnd w:id="37"/>
          </w:p>
        </w:tc>
        <w:tc>
          <w:tcPr>
            <w:tcW w:w="3664" w:type="pct"/>
          </w:tcPr>
          <w:p w14:paraId="7E7FAE91" w14:textId="092F7C60" w:rsidR="000016AE" w:rsidRPr="00EC0B05" w:rsidRDefault="000016AE">
            <w:pPr>
              <w:autoSpaceDE w:val="0"/>
              <w:autoSpaceDN w:val="0"/>
              <w:adjustRightInd w:val="0"/>
              <w:contextualSpacing/>
              <w:rPr>
                <w:w w:val="110"/>
                <w:sz w:val="21"/>
                <w:szCs w:val="21"/>
              </w:rPr>
            </w:pPr>
            <w:r w:rsidRPr="00EC0B05">
              <w:rPr>
                <w:w w:val="110"/>
                <w:sz w:val="21"/>
                <w:szCs w:val="21"/>
              </w:rPr>
              <w:t>Obtain 2 years</w:t>
            </w:r>
            <w:r w:rsidR="00965D1C">
              <w:rPr>
                <w:w w:val="110"/>
                <w:sz w:val="21"/>
                <w:szCs w:val="21"/>
              </w:rPr>
              <w:t>’</w:t>
            </w:r>
            <w:r w:rsidRPr="00EC0B05">
              <w:rPr>
                <w:w w:val="110"/>
                <w:sz w:val="21"/>
                <w:szCs w:val="21"/>
              </w:rPr>
              <w:t xml:space="preserve"> tax returns.  Verify the borrower’s ownership of the assets where the interest or dividend income was earned. </w:t>
            </w:r>
          </w:p>
          <w:p w14:paraId="0358E9FD" w14:textId="77777777" w:rsidR="000016AE" w:rsidRPr="00EC0B05" w:rsidRDefault="000016AE">
            <w:pPr>
              <w:autoSpaceDE w:val="0"/>
              <w:autoSpaceDN w:val="0"/>
              <w:adjustRightInd w:val="0"/>
              <w:contextualSpacing/>
              <w:rPr>
                <w:w w:val="110"/>
                <w:sz w:val="21"/>
                <w:szCs w:val="21"/>
              </w:rPr>
            </w:pPr>
            <w:r w:rsidRPr="00EC0B05">
              <w:rPr>
                <w:w w:val="110"/>
                <w:sz w:val="21"/>
                <w:szCs w:val="21"/>
              </w:rPr>
              <w:t>Documentation of asset ownership must be verified and a two-year history of receipt of the income by:</w:t>
            </w:r>
          </w:p>
          <w:p w14:paraId="05154563" w14:textId="77777777" w:rsidR="000016AE" w:rsidRPr="00EC0B05" w:rsidRDefault="000016AE" w:rsidP="00471F7C">
            <w:pPr>
              <w:pStyle w:val="ListParagraph"/>
              <w:numPr>
                <w:ilvl w:val="0"/>
                <w:numId w:val="3"/>
              </w:numPr>
              <w:autoSpaceDE w:val="0"/>
              <w:autoSpaceDN w:val="0"/>
              <w:adjustRightInd w:val="0"/>
              <w:ind w:left="702"/>
              <w:rPr>
                <w:w w:val="110"/>
                <w:sz w:val="21"/>
                <w:szCs w:val="21"/>
              </w:rPr>
            </w:pPr>
            <w:r w:rsidRPr="00EC0B05">
              <w:rPr>
                <w:w w:val="110"/>
                <w:sz w:val="21"/>
                <w:szCs w:val="21"/>
              </w:rPr>
              <w:t>Copies of the borrower’s signed federal income tax returns, or</w:t>
            </w:r>
          </w:p>
          <w:p w14:paraId="1C139C77" w14:textId="77777777" w:rsidR="000016AE" w:rsidRPr="00EC0B05" w:rsidRDefault="000016AE" w:rsidP="00471F7C">
            <w:pPr>
              <w:pStyle w:val="ListParagraph"/>
              <w:numPr>
                <w:ilvl w:val="0"/>
                <w:numId w:val="3"/>
              </w:numPr>
              <w:autoSpaceDE w:val="0"/>
              <w:autoSpaceDN w:val="0"/>
              <w:adjustRightInd w:val="0"/>
              <w:ind w:left="702"/>
              <w:rPr>
                <w:w w:val="110"/>
                <w:sz w:val="21"/>
                <w:szCs w:val="21"/>
              </w:rPr>
            </w:pPr>
            <w:r w:rsidRPr="00EC0B05">
              <w:rPr>
                <w:w w:val="110"/>
                <w:sz w:val="21"/>
                <w:szCs w:val="21"/>
              </w:rPr>
              <w:t>Copies of account statements.</w:t>
            </w:r>
          </w:p>
          <w:p w14:paraId="37664F3B" w14:textId="77777777" w:rsidR="000016AE" w:rsidRPr="00EC0B05" w:rsidRDefault="000016AE" w:rsidP="00471F7C">
            <w:pPr>
              <w:autoSpaceDE w:val="0"/>
              <w:autoSpaceDN w:val="0"/>
              <w:adjustRightInd w:val="0"/>
              <w:ind w:left="3600" w:hanging="360"/>
              <w:contextualSpacing/>
              <w:rPr>
                <w:w w:val="110"/>
                <w:sz w:val="21"/>
                <w:szCs w:val="21"/>
              </w:rPr>
            </w:pPr>
          </w:p>
          <w:p w14:paraId="7581C3F1" w14:textId="77777777" w:rsidR="007F09F9" w:rsidRDefault="000016AE">
            <w:pPr>
              <w:autoSpaceDE w:val="0"/>
              <w:autoSpaceDN w:val="0"/>
              <w:adjustRightInd w:val="0"/>
              <w:contextualSpacing/>
              <w:rPr>
                <w:w w:val="110"/>
                <w:sz w:val="21"/>
                <w:szCs w:val="21"/>
              </w:rPr>
            </w:pPr>
            <w:r w:rsidRPr="00EC0B05">
              <w:rPr>
                <w:w w:val="110"/>
                <w:sz w:val="21"/>
                <w:szCs w:val="21"/>
              </w:rPr>
              <w:t xml:space="preserve">An average of the income received for the most recent two years is developed.  Any assets utilized for down payment or closing costs must be subtracted from the borrower’s total assets before calculating expected future interest or dividend income.  </w:t>
            </w:r>
          </w:p>
          <w:p w14:paraId="5430D5F6" w14:textId="77777777" w:rsidR="007F09F9" w:rsidRDefault="007F09F9">
            <w:pPr>
              <w:autoSpaceDE w:val="0"/>
              <w:autoSpaceDN w:val="0"/>
              <w:adjustRightInd w:val="0"/>
              <w:contextualSpacing/>
              <w:rPr>
                <w:w w:val="110"/>
                <w:sz w:val="21"/>
                <w:szCs w:val="21"/>
              </w:rPr>
            </w:pPr>
          </w:p>
          <w:p w14:paraId="6AFA67A4" w14:textId="0E46FBA6" w:rsidR="000016AE" w:rsidRPr="00EC0B05" w:rsidRDefault="000016AE">
            <w:pPr>
              <w:autoSpaceDE w:val="0"/>
              <w:autoSpaceDN w:val="0"/>
              <w:adjustRightInd w:val="0"/>
              <w:contextualSpacing/>
              <w:rPr>
                <w:w w:val="110"/>
                <w:sz w:val="21"/>
                <w:szCs w:val="21"/>
              </w:rPr>
            </w:pPr>
            <w:r w:rsidRPr="00EC0B05">
              <w:rPr>
                <w:w w:val="110"/>
                <w:sz w:val="21"/>
                <w:szCs w:val="21"/>
              </w:rPr>
              <w:t xml:space="preserve">Interest and dividend income cannot be utilized in conjunction with asset depletion, unless the source of the interest or dividends is not included in the asset depletion calculation (e.g. when the source of the interest and dividend income is from ownership interest in a business).  When including both, the likelihood that the dividends and/or interest would reasonably continue must be reasonable and well-documented. </w:t>
            </w:r>
          </w:p>
        </w:tc>
      </w:tr>
      <w:tr w:rsidR="00EC0B05" w:rsidRPr="00EC0B05" w14:paraId="19645167" w14:textId="77777777" w:rsidTr="0063752F">
        <w:tc>
          <w:tcPr>
            <w:tcW w:w="1336" w:type="pct"/>
          </w:tcPr>
          <w:p w14:paraId="410F92FD" w14:textId="77777777" w:rsidR="000016AE" w:rsidRPr="00EC0B05" w:rsidRDefault="000016AE" w:rsidP="00471F7C">
            <w:pPr>
              <w:rPr>
                <w:b/>
                <w:sz w:val="21"/>
                <w:szCs w:val="21"/>
              </w:rPr>
            </w:pPr>
            <w:bookmarkStart w:id="38" w:name="earnest_money_dep"/>
            <w:r w:rsidRPr="00EC0B05">
              <w:rPr>
                <w:b/>
                <w:sz w:val="21"/>
                <w:szCs w:val="21"/>
              </w:rPr>
              <w:lastRenderedPageBreak/>
              <w:t>Earnest Money Deposit</w:t>
            </w:r>
            <w:bookmarkEnd w:id="38"/>
          </w:p>
        </w:tc>
        <w:tc>
          <w:tcPr>
            <w:tcW w:w="3664" w:type="pct"/>
          </w:tcPr>
          <w:p w14:paraId="0D86D9F7" w14:textId="77777777" w:rsidR="000016AE" w:rsidRPr="00F166CB" w:rsidRDefault="000016AE" w:rsidP="00471F7C">
            <w:pPr>
              <w:pStyle w:val="BodyText"/>
              <w:numPr>
                <w:ilvl w:val="0"/>
                <w:numId w:val="3"/>
              </w:numPr>
              <w:kinsoku w:val="0"/>
              <w:overflowPunct w:val="0"/>
              <w:ind w:right="572"/>
              <w:rPr>
                <w:rFonts w:asciiTheme="minorHAnsi" w:eastAsiaTheme="minorHAnsi" w:hAnsiTheme="minorHAnsi" w:cstheme="minorBidi"/>
              </w:rPr>
            </w:pPr>
            <w:r w:rsidRPr="00EC0B05">
              <w:rPr>
                <w:rFonts w:asciiTheme="minorHAnsi" w:eastAsiaTheme="minorHAnsi" w:hAnsiTheme="minorHAnsi" w:cstheme="minorBidi"/>
              </w:rPr>
              <w:t>If a copy of the cancelled deposit check is utilized to document the source of funds, the bank statements should cover the period up to (and including) the date the check cleared the bank account.</w:t>
            </w:r>
          </w:p>
          <w:p w14:paraId="09649B58" w14:textId="77777777" w:rsidR="000016AE" w:rsidRPr="00F166CB" w:rsidRDefault="000016AE" w:rsidP="00471F7C">
            <w:pPr>
              <w:pStyle w:val="BodyText"/>
              <w:numPr>
                <w:ilvl w:val="0"/>
                <w:numId w:val="3"/>
              </w:numPr>
              <w:kinsoku w:val="0"/>
              <w:overflowPunct w:val="0"/>
              <w:ind w:right="391"/>
              <w:rPr>
                <w:rFonts w:asciiTheme="minorHAnsi" w:eastAsiaTheme="minorHAnsi" w:hAnsiTheme="minorHAnsi" w:cstheme="minorBidi"/>
              </w:rPr>
            </w:pPr>
            <w:r w:rsidRPr="00EC0B05">
              <w:rPr>
                <w:rFonts w:asciiTheme="minorHAnsi" w:eastAsiaTheme="minorHAnsi" w:hAnsiTheme="minorHAnsi" w:cstheme="minorBidi"/>
              </w:rPr>
              <w:t>If it cannot be determined that these funds were withdrawn from the borrower's account, additional verification of the source and evidence that the funds have actually changed hands from the borrower to the seller, the realtor, the escrow agent, or the settlement attorney should be provided.</w:t>
            </w:r>
          </w:p>
          <w:p w14:paraId="73A844CD" w14:textId="77777777" w:rsidR="000016AE" w:rsidRPr="00EC0B05" w:rsidRDefault="000016AE" w:rsidP="00471F7C">
            <w:pPr>
              <w:pStyle w:val="BodyText"/>
              <w:numPr>
                <w:ilvl w:val="0"/>
                <w:numId w:val="3"/>
              </w:numPr>
              <w:kinsoku w:val="0"/>
              <w:overflowPunct w:val="0"/>
              <w:ind w:right="391"/>
              <w:rPr>
                <w:rFonts w:asciiTheme="minorHAnsi" w:hAnsiTheme="minorHAnsi"/>
              </w:rPr>
            </w:pPr>
            <w:r w:rsidRPr="00EC0B05">
              <w:rPr>
                <w:rFonts w:asciiTheme="minorHAnsi" w:eastAsiaTheme="minorHAnsi" w:hAnsiTheme="minorHAnsi" w:cstheme="minorBidi"/>
              </w:rPr>
              <w:t>Large earnest money deposits and deposits that exceed the amount customary for the area should be closely evaluated.</w:t>
            </w:r>
          </w:p>
        </w:tc>
      </w:tr>
      <w:tr w:rsidR="00EC0B05" w:rsidRPr="00EC0B05" w14:paraId="3665E310" w14:textId="77777777" w:rsidTr="0063752F">
        <w:tc>
          <w:tcPr>
            <w:tcW w:w="1336" w:type="pct"/>
          </w:tcPr>
          <w:p w14:paraId="3893A9AB" w14:textId="77777777" w:rsidR="000016AE" w:rsidRPr="00EC0B05" w:rsidRDefault="000016AE" w:rsidP="00471F7C">
            <w:pPr>
              <w:rPr>
                <w:b/>
                <w:sz w:val="21"/>
                <w:szCs w:val="21"/>
              </w:rPr>
            </w:pPr>
            <w:bookmarkStart w:id="39" w:name="emp_bus_expenses"/>
            <w:r w:rsidRPr="00EC0B05">
              <w:rPr>
                <w:b/>
                <w:sz w:val="21"/>
                <w:szCs w:val="21"/>
              </w:rPr>
              <w:t>Employee Business Expenses</w:t>
            </w:r>
            <w:bookmarkEnd w:id="39"/>
          </w:p>
        </w:tc>
        <w:tc>
          <w:tcPr>
            <w:tcW w:w="3664" w:type="pct"/>
          </w:tcPr>
          <w:p w14:paraId="708D2338" w14:textId="77777777" w:rsidR="007F09F9" w:rsidRDefault="000016AE" w:rsidP="00471F7C">
            <w:pPr>
              <w:pStyle w:val="Heading1"/>
              <w:spacing w:before="0"/>
              <w:contextualSpacing/>
              <w:rPr>
                <w:rFonts w:asciiTheme="minorHAnsi" w:eastAsiaTheme="minorHAnsi" w:hAnsiTheme="minorHAnsi" w:cstheme="minorBidi"/>
                <w:color w:val="auto"/>
                <w:w w:val="110"/>
                <w:sz w:val="21"/>
                <w:szCs w:val="21"/>
              </w:rPr>
            </w:pPr>
            <w:r w:rsidRPr="00EC0B05">
              <w:rPr>
                <w:rFonts w:asciiTheme="minorHAnsi" w:eastAsiaTheme="minorHAnsi" w:hAnsiTheme="minorHAnsi" w:cstheme="minorBidi"/>
                <w:color w:val="auto"/>
                <w:w w:val="110"/>
                <w:sz w:val="21"/>
                <w:szCs w:val="21"/>
              </w:rPr>
              <w:t xml:space="preserve">Unreimbursed employee business expenses are not required to be analyzed or deducted from, or added to, monthly liabilities.  </w:t>
            </w:r>
          </w:p>
          <w:p w14:paraId="4A757D7D" w14:textId="77777777" w:rsidR="007F09F9" w:rsidRDefault="007F09F9" w:rsidP="00471F7C">
            <w:pPr>
              <w:pStyle w:val="Heading1"/>
              <w:spacing w:before="0"/>
              <w:contextualSpacing/>
              <w:rPr>
                <w:rFonts w:asciiTheme="minorHAnsi" w:eastAsiaTheme="minorHAnsi" w:hAnsiTheme="minorHAnsi" w:cstheme="minorBidi"/>
                <w:color w:val="auto"/>
                <w:w w:val="110"/>
                <w:sz w:val="21"/>
                <w:szCs w:val="21"/>
              </w:rPr>
            </w:pPr>
          </w:p>
          <w:p w14:paraId="13E0E961" w14:textId="718D07EA" w:rsidR="000016AE" w:rsidRPr="00EC0B05" w:rsidRDefault="000016AE" w:rsidP="00471F7C">
            <w:pPr>
              <w:pStyle w:val="Heading1"/>
              <w:spacing w:before="0"/>
              <w:contextualSpacing/>
              <w:rPr>
                <w:rFonts w:asciiTheme="minorHAnsi" w:eastAsiaTheme="minorHAnsi" w:hAnsiTheme="minorHAnsi" w:cstheme="minorBidi"/>
                <w:color w:val="auto"/>
                <w:w w:val="110"/>
                <w:sz w:val="21"/>
                <w:szCs w:val="21"/>
              </w:rPr>
            </w:pPr>
            <w:r w:rsidRPr="00EC0B05">
              <w:rPr>
                <w:rFonts w:asciiTheme="minorHAnsi" w:eastAsiaTheme="minorHAnsi" w:hAnsiTheme="minorHAnsi" w:cstheme="minorBidi"/>
                <w:color w:val="auto"/>
                <w:w w:val="110"/>
                <w:sz w:val="21"/>
                <w:szCs w:val="21"/>
              </w:rPr>
              <w:t xml:space="preserve">This applies regardless of whether unreimbursed employee business expenses are identified on tax returns or tax transcripts </w:t>
            </w:r>
          </w:p>
        </w:tc>
      </w:tr>
      <w:tr w:rsidR="00EC0B05" w:rsidRPr="00EC0B05" w14:paraId="724C4D7F" w14:textId="77777777" w:rsidTr="0063752F">
        <w:tc>
          <w:tcPr>
            <w:tcW w:w="1336" w:type="pct"/>
          </w:tcPr>
          <w:p w14:paraId="7DC4B8D2" w14:textId="77777777" w:rsidR="000016AE" w:rsidRPr="00EC0B05" w:rsidRDefault="000016AE" w:rsidP="00471F7C">
            <w:pPr>
              <w:rPr>
                <w:b/>
                <w:w w:val="110"/>
                <w:sz w:val="21"/>
                <w:szCs w:val="21"/>
              </w:rPr>
            </w:pPr>
            <w:bookmarkStart w:id="40" w:name="emp_contract_off"/>
            <w:r w:rsidRPr="00EC0B05">
              <w:rPr>
                <w:b/>
                <w:w w:val="110"/>
                <w:sz w:val="21"/>
                <w:szCs w:val="21"/>
              </w:rPr>
              <w:t>Employment Offers or Contracts</w:t>
            </w:r>
            <w:bookmarkEnd w:id="40"/>
          </w:p>
        </w:tc>
        <w:tc>
          <w:tcPr>
            <w:tcW w:w="3664" w:type="pct"/>
          </w:tcPr>
          <w:p w14:paraId="7EF35296" w14:textId="77777777" w:rsidR="000016AE" w:rsidRPr="00EC0B05" w:rsidRDefault="000016AE">
            <w:pPr>
              <w:pStyle w:val="BodyText"/>
              <w:ind w:right="679"/>
              <w:contextualSpacing/>
              <w:rPr>
                <w:rFonts w:asciiTheme="minorHAnsi" w:eastAsiaTheme="minorHAnsi" w:hAnsiTheme="minorHAnsi" w:cstheme="minorBidi"/>
                <w:w w:val="110"/>
              </w:rPr>
            </w:pPr>
            <w:r w:rsidRPr="00EC0B05">
              <w:rPr>
                <w:rFonts w:asciiTheme="minorHAnsi" w:eastAsiaTheme="minorHAnsi" w:hAnsiTheme="minorHAnsi" w:cstheme="minorBidi"/>
                <w:w w:val="110"/>
              </w:rPr>
              <w:t xml:space="preserve">If the borrower is scheduled to begin employment after the loan closes, it is acceptable to utilize an offer or contract for future employment and income to underwrite and close the loan. </w:t>
            </w:r>
          </w:p>
          <w:p w14:paraId="57B43FE6" w14:textId="77777777" w:rsidR="000016AE" w:rsidRPr="00EC0B05" w:rsidRDefault="000016AE">
            <w:pPr>
              <w:pStyle w:val="BodyText"/>
              <w:ind w:right="679"/>
              <w:contextualSpacing/>
              <w:rPr>
                <w:rFonts w:asciiTheme="minorHAnsi" w:eastAsiaTheme="minorHAnsi" w:hAnsiTheme="minorHAnsi" w:cstheme="minorBidi"/>
                <w:w w:val="110"/>
              </w:rPr>
            </w:pPr>
          </w:p>
          <w:p w14:paraId="39043AB0" w14:textId="77777777" w:rsidR="000016AE" w:rsidRPr="00EC0B05" w:rsidRDefault="000016AE">
            <w:pPr>
              <w:rPr>
                <w:w w:val="110"/>
                <w:sz w:val="21"/>
                <w:szCs w:val="21"/>
              </w:rPr>
            </w:pPr>
            <w:r w:rsidRPr="00EC0B05">
              <w:rPr>
                <w:w w:val="110"/>
                <w:sz w:val="21"/>
                <w:szCs w:val="21"/>
              </w:rPr>
              <w:t>If a borrower was previously employed as a W-2 wage earner and recently became a partner (e.g. law firm), obtain a copy of the contract.  Any guaranteed draws are eligible for qualifying.  If the borrower is not guaranteed a draw, but the employer makes a reasonable projection as to the future earnings of the borrower, the income can be utilized; however, supporting documentation to show likelihood of continuance for at least three years must be provided</w:t>
            </w:r>
          </w:p>
        </w:tc>
      </w:tr>
      <w:tr w:rsidR="00EC0B05" w:rsidRPr="00EC0B05" w14:paraId="434C4480" w14:textId="77777777" w:rsidTr="0063752F">
        <w:tc>
          <w:tcPr>
            <w:tcW w:w="1336" w:type="pct"/>
          </w:tcPr>
          <w:p w14:paraId="7445FFFD" w14:textId="77777777" w:rsidR="000016AE" w:rsidRPr="00EC0B05" w:rsidRDefault="000016AE" w:rsidP="00471F7C">
            <w:pPr>
              <w:rPr>
                <w:b/>
                <w:w w:val="110"/>
                <w:sz w:val="21"/>
                <w:szCs w:val="21"/>
              </w:rPr>
            </w:pPr>
            <w:bookmarkStart w:id="41" w:name="fixed_inc"/>
            <w:r w:rsidRPr="00EC0B05">
              <w:rPr>
                <w:b/>
                <w:w w:val="110"/>
                <w:sz w:val="21"/>
                <w:szCs w:val="21"/>
              </w:rPr>
              <w:t>Fixed Income</w:t>
            </w:r>
            <w:bookmarkEnd w:id="41"/>
          </w:p>
        </w:tc>
        <w:tc>
          <w:tcPr>
            <w:tcW w:w="3664" w:type="pct"/>
          </w:tcPr>
          <w:p w14:paraId="3C7A7AAE" w14:textId="62A0100E" w:rsidR="000016AE" w:rsidRPr="00EC0B05" w:rsidRDefault="000016AE">
            <w:pPr>
              <w:autoSpaceDE w:val="0"/>
              <w:autoSpaceDN w:val="0"/>
              <w:adjustRightInd w:val="0"/>
              <w:ind w:left="2880" w:hanging="2880"/>
              <w:contextualSpacing/>
              <w:rPr>
                <w:w w:val="110"/>
                <w:sz w:val="21"/>
                <w:szCs w:val="21"/>
              </w:rPr>
            </w:pPr>
            <w:r w:rsidRPr="00EC0B05">
              <w:rPr>
                <w:w w:val="110"/>
                <w:sz w:val="21"/>
                <w:szCs w:val="21"/>
              </w:rPr>
              <w:t>Social Security, Disability</w:t>
            </w:r>
            <w:r w:rsidR="00026A1B">
              <w:rPr>
                <w:w w:val="110"/>
                <w:sz w:val="21"/>
                <w:szCs w:val="21"/>
              </w:rPr>
              <w:t>,</w:t>
            </w:r>
            <w:r w:rsidRPr="00EC0B05">
              <w:rPr>
                <w:w w:val="110"/>
                <w:sz w:val="21"/>
                <w:szCs w:val="21"/>
              </w:rPr>
              <w:t xml:space="preserve"> Pension and/or </w:t>
            </w:r>
            <w:r w:rsidR="00026A1B">
              <w:rPr>
                <w:w w:val="110"/>
                <w:sz w:val="21"/>
                <w:szCs w:val="21"/>
              </w:rPr>
              <w:t>VA Benefits</w:t>
            </w:r>
          </w:p>
          <w:p w14:paraId="14F8FCFE" w14:textId="77777777" w:rsidR="000016AE" w:rsidRPr="0063752F" w:rsidRDefault="000016AE">
            <w:pPr>
              <w:autoSpaceDE w:val="0"/>
              <w:autoSpaceDN w:val="0"/>
              <w:adjustRightInd w:val="0"/>
              <w:rPr>
                <w:w w:val="110"/>
                <w:sz w:val="21"/>
                <w:szCs w:val="21"/>
              </w:rPr>
            </w:pPr>
          </w:p>
          <w:p w14:paraId="2F0E48DB" w14:textId="6A054F88" w:rsidR="000016AE" w:rsidRDefault="000016AE">
            <w:pPr>
              <w:autoSpaceDE w:val="0"/>
              <w:autoSpaceDN w:val="0"/>
              <w:adjustRightInd w:val="0"/>
              <w:contextualSpacing/>
              <w:rPr>
                <w:w w:val="110"/>
                <w:sz w:val="21"/>
                <w:szCs w:val="21"/>
              </w:rPr>
            </w:pPr>
            <w:r w:rsidRPr="00EC0B05">
              <w:rPr>
                <w:w w:val="110"/>
                <w:sz w:val="21"/>
                <w:szCs w:val="21"/>
              </w:rPr>
              <w:t xml:space="preserve">Obtain the most recent 1099’s or </w:t>
            </w:r>
            <w:r w:rsidR="00026A1B">
              <w:rPr>
                <w:w w:val="110"/>
                <w:sz w:val="21"/>
                <w:szCs w:val="21"/>
              </w:rPr>
              <w:t>tax returns; i</w:t>
            </w:r>
            <w:r w:rsidRPr="00EC0B05">
              <w:rPr>
                <w:w w:val="110"/>
                <w:sz w:val="21"/>
                <w:szCs w:val="21"/>
              </w:rPr>
              <w:t>f the income is non-taxable it can be grossed up 125% for qualifying purposes.</w:t>
            </w:r>
          </w:p>
          <w:p w14:paraId="520DD652" w14:textId="77777777" w:rsidR="00026A1B" w:rsidRDefault="00026A1B">
            <w:pPr>
              <w:autoSpaceDE w:val="0"/>
              <w:autoSpaceDN w:val="0"/>
              <w:adjustRightInd w:val="0"/>
              <w:contextualSpacing/>
              <w:rPr>
                <w:w w:val="110"/>
                <w:sz w:val="21"/>
                <w:szCs w:val="21"/>
              </w:rPr>
            </w:pPr>
          </w:p>
          <w:p w14:paraId="0072EC9B" w14:textId="77777777" w:rsidR="00A34A71" w:rsidRDefault="00026A1B">
            <w:pPr>
              <w:autoSpaceDE w:val="0"/>
              <w:autoSpaceDN w:val="0"/>
              <w:adjustRightInd w:val="0"/>
              <w:contextualSpacing/>
              <w:rPr>
                <w:color w:val="1F161F"/>
                <w:w w:val="110"/>
                <w:sz w:val="21"/>
                <w:szCs w:val="21"/>
              </w:rPr>
            </w:pPr>
            <w:r>
              <w:rPr>
                <w:color w:val="1F161F"/>
                <w:w w:val="110"/>
                <w:sz w:val="21"/>
                <w:szCs w:val="21"/>
              </w:rPr>
              <w:t>For new or increased distributions, the most recent award letter, policy statement, or benefit statement, as well as proof of receipt of the increased award</w:t>
            </w:r>
            <w:r w:rsidR="00727C08">
              <w:rPr>
                <w:color w:val="1F161F"/>
                <w:w w:val="110"/>
                <w:sz w:val="21"/>
                <w:szCs w:val="21"/>
              </w:rPr>
              <w:t xml:space="preserve"> should be obtained</w:t>
            </w:r>
            <w:r>
              <w:rPr>
                <w:color w:val="1F161F"/>
                <w:w w:val="110"/>
                <w:sz w:val="21"/>
                <w:szCs w:val="21"/>
              </w:rPr>
              <w:t>.</w:t>
            </w:r>
          </w:p>
          <w:p w14:paraId="53EB9B8C" w14:textId="77777777" w:rsidR="007F124E" w:rsidRDefault="007F124E">
            <w:pPr>
              <w:autoSpaceDE w:val="0"/>
              <w:autoSpaceDN w:val="0"/>
              <w:adjustRightInd w:val="0"/>
              <w:contextualSpacing/>
              <w:rPr>
                <w:color w:val="1F161F"/>
                <w:w w:val="110"/>
                <w:sz w:val="21"/>
                <w:szCs w:val="21"/>
              </w:rPr>
            </w:pPr>
          </w:p>
          <w:p w14:paraId="10BB2E45" w14:textId="77777777" w:rsidR="007F124E" w:rsidRDefault="007F124E">
            <w:pPr>
              <w:autoSpaceDE w:val="0"/>
              <w:autoSpaceDN w:val="0"/>
              <w:adjustRightInd w:val="0"/>
              <w:contextualSpacing/>
              <w:rPr>
                <w:color w:val="1F161F"/>
                <w:w w:val="110"/>
                <w:sz w:val="21"/>
                <w:szCs w:val="21"/>
              </w:rPr>
            </w:pPr>
            <w:r>
              <w:rPr>
                <w:color w:val="1F161F"/>
                <w:w w:val="110"/>
                <w:sz w:val="21"/>
                <w:szCs w:val="21"/>
              </w:rPr>
              <w:t>For borrowers on temporary leave, all of the following documentation must be obtained:</w:t>
            </w:r>
          </w:p>
          <w:p w14:paraId="77EAB4ED" w14:textId="77777777" w:rsidR="007F124E" w:rsidRDefault="007F124E" w:rsidP="00A8756A">
            <w:pPr>
              <w:pStyle w:val="ListParagraph"/>
              <w:numPr>
                <w:ilvl w:val="0"/>
                <w:numId w:val="67"/>
              </w:numPr>
              <w:autoSpaceDE w:val="0"/>
              <w:autoSpaceDN w:val="0"/>
              <w:adjustRightInd w:val="0"/>
              <w:rPr>
                <w:color w:val="1F161F"/>
                <w:w w:val="110"/>
                <w:sz w:val="21"/>
                <w:szCs w:val="21"/>
              </w:rPr>
            </w:pPr>
            <w:r>
              <w:rPr>
                <w:color w:val="1F161F"/>
                <w:w w:val="110"/>
                <w:sz w:val="21"/>
                <w:szCs w:val="21"/>
              </w:rPr>
              <w:t>A borrower-signed LOE confirming their intent to return to work</w:t>
            </w:r>
          </w:p>
          <w:p w14:paraId="022BDA38" w14:textId="77777777" w:rsidR="007F124E" w:rsidRDefault="007F124E" w:rsidP="00A8756A">
            <w:pPr>
              <w:pStyle w:val="ListParagraph"/>
              <w:numPr>
                <w:ilvl w:val="0"/>
                <w:numId w:val="67"/>
              </w:numPr>
              <w:autoSpaceDE w:val="0"/>
              <w:autoSpaceDN w:val="0"/>
              <w:adjustRightInd w:val="0"/>
              <w:rPr>
                <w:color w:val="1F161F"/>
                <w:w w:val="110"/>
                <w:sz w:val="21"/>
                <w:szCs w:val="21"/>
              </w:rPr>
            </w:pPr>
            <w:r>
              <w:rPr>
                <w:color w:val="1F161F"/>
                <w:w w:val="110"/>
                <w:sz w:val="21"/>
                <w:szCs w:val="21"/>
              </w:rPr>
              <w:t>Confirmation of the agreed-upon return date (this may be included in the LOE, in correspondence between the borrower and employer/employer’s third party administrator, or a printout from the employer/employer’s third party administrator)</w:t>
            </w:r>
          </w:p>
          <w:p w14:paraId="3B91F087" w14:textId="77777777" w:rsidR="007F124E" w:rsidRDefault="007F124E" w:rsidP="00A8756A">
            <w:pPr>
              <w:pStyle w:val="ListParagraph"/>
              <w:numPr>
                <w:ilvl w:val="0"/>
                <w:numId w:val="67"/>
              </w:numPr>
              <w:autoSpaceDE w:val="0"/>
              <w:autoSpaceDN w:val="0"/>
              <w:adjustRightInd w:val="0"/>
              <w:rPr>
                <w:color w:val="1F161F"/>
                <w:w w:val="110"/>
                <w:sz w:val="21"/>
                <w:szCs w:val="21"/>
              </w:rPr>
            </w:pPr>
            <w:r>
              <w:rPr>
                <w:color w:val="1F161F"/>
                <w:w w:val="110"/>
                <w:sz w:val="21"/>
                <w:szCs w:val="21"/>
              </w:rPr>
              <w:t>A verbal or written VOE</w:t>
            </w:r>
          </w:p>
          <w:p w14:paraId="7B95F7B1" w14:textId="68C53B84" w:rsidR="007F124E" w:rsidRPr="005521B9" w:rsidRDefault="007F124E" w:rsidP="00A8756A">
            <w:pPr>
              <w:pStyle w:val="ListParagraph"/>
              <w:numPr>
                <w:ilvl w:val="0"/>
                <w:numId w:val="67"/>
              </w:numPr>
              <w:autoSpaceDE w:val="0"/>
              <w:autoSpaceDN w:val="0"/>
              <w:adjustRightInd w:val="0"/>
              <w:rPr>
                <w:color w:val="1F161F"/>
                <w:w w:val="110"/>
                <w:sz w:val="21"/>
                <w:szCs w:val="21"/>
              </w:rPr>
            </w:pPr>
            <w:r w:rsidRPr="005521B9">
              <w:rPr>
                <w:color w:val="1F161F"/>
                <w:w w:val="110"/>
                <w:sz w:val="21"/>
                <w:szCs w:val="21"/>
              </w:rPr>
              <w:t>Confirmation of the amount and duration of the borrower’s “temporary leave income” as well as their “regular employment income,” (this may be provided by the borrower, the employer, or the employer’s third party administrator)</w:t>
            </w:r>
          </w:p>
        </w:tc>
      </w:tr>
      <w:bookmarkStart w:id="42" w:name="Flood"/>
      <w:bookmarkStart w:id="43" w:name="Flood_Insurance"/>
      <w:tr w:rsidR="00175B7B" w:rsidRPr="00175B7B" w14:paraId="23981948" w14:textId="77777777" w:rsidTr="0063752F">
        <w:tc>
          <w:tcPr>
            <w:tcW w:w="1336" w:type="pct"/>
          </w:tcPr>
          <w:p w14:paraId="5FECBE6F" w14:textId="77777777" w:rsidR="00286474" w:rsidRPr="00175B7B" w:rsidRDefault="00C20B32" w:rsidP="00471F7C">
            <w:pPr>
              <w:pStyle w:val="NoSpacing"/>
              <w:rPr>
                <w:b/>
                <w:color w:val="000000" w:themeColor="text1"/>
                <w:sz w:val="21"/>
                <w:szCs w:val="21"/>
              </w:rPr>
            </w:pPr>
            <w:r w:rsidRPr="00175B7B">
              <w:rPr>
                <w:b/>
                <w:color w:val="000000" w:themeColor="text1"/>
                <w:sz w:val="21"/>
                <w:szCs w:val="21"/>
              </w:rPr>
              <w:fldChar w:fldCharType="begin"/>
            </w:r>
            <w:r w:rsidRPr="00175B7B">
              <w:rPr>
                <w:b/>
                <w:color w:val="000000" w:themeColor="text1"/>
                <w:sz w:val="21"/>
                <w:szCs w:val="21"/>
              </w:rPr>
              <w:instrText xml:space="preserve"> HYPERLINK  \l "Flood_Insurance" </w:instrText>
            </w:r>
            <w:r w:rsidRPr="00175B7B">
              <w:rPr>
                <w:b/>
                <w:color w:val="000000" w:themeColor="text1"/>
                <w:sz w:val="21"/>
                <w:szCs w:val="21"/>
              </w:rPr>
              <w:fldChar w:fldCharType="separate"/>
            </w:r>
            <w:r w:rsidR="00286474" w:rsidRPr="00175B7B">
              <w:rPr>
                <w:rStyle w:val="Hyperlink"/>
                <w:b/>
                <w:color w:val="000000" w:themeColor="text1"/>
                <w:sz w:val="21"/>
                <w:szCs w:val="21"/>
                <w:u w:val="none"/>
              </w:rPr>
              <w:t>Flood Insurance</w:t>
            </w:r>
            <w:r w:rsidRPr="00175B7B">
              <w:rPr>
                <w:b/>
                <w:color w:val="000000" w:themeColor="text1"/>
                <w:sz w:val="21"/>
                <w:szCs w:val="21"/>
              </w:rPr>
              <w:fldChar w:fldCharType="end"/>
            </w:r>
            <w:bookmarkEnd w:id="42"/>
            <w:bookmarkEnd w:id="43"/>
          </w:p>
        </w:tc>
        <w:tc>
          <w:tcPr>
            <w:tcW w:w="3664" w:type="pct"/>
          </w:tcPr>
          <w:p w14:paraId="2106222A" w14:textId="03C4059D" w:rsidR="00970076" w:rsidRPr="00D6318B" w:rsidRDefault="00970076" w:rsidP="00970076">
            <w:pPr>
              <w:spacing w:line="276" w:lineRule="auto"/>
            </w:pPr>
            <w:r w:rsidRPr="00970076">
              <w:rPr>
                <w:sz w:val="21"/>
                <w:szCs w:val="21"/>
              </w:rPr>
              <w:t>All properties located in a flood zone will require flood insurance</w:t>
            </w:r>
          </w:p>
          <w:p w14:paraId="045F7858" w14:textId="77777777" w:rsidR="00970076" w:rsidRDefault="00970076" w:rsidP="00970076">
            <w:pPr>
              <w:pStyle w:val="ListParagraph"/>
              <w:rPr>
                <w:color w:val="000000" w:themeColor="text1"/>
                <w:sz w:val="21"/>
                <w:szCs w:val="21"/>
              </w:rPr>
            </w:pPr>
          </w:p>
          <w:p w14:paraId="7C16EA51" w14:textId="701C2FB7" w:rsidR="00EF0713" w:rsidRPr="00175B7B" w:rsidRDefault="00EF0713" w:rsidP="00820FE7">
            <w:pPr>
              <w:pStyle w:val="ListParagraph"/>
              <w:numPr>
                <w:ilvl w:val="0"/>
                <w:numId w:val="42"/>
              </w:numPr>
              <w:rPr>
                <w:color w:val="000000" w:themeColor="text1"/>
                <w:sz w:val="21"/>
                <w:szCs w:val="21"/>
              </w:rPr>
            </w:pPr>
            <w:r w:rsidRPr="00175B7B">
              <w:rPr>
                <w:color w:val="000000" w:themeColor="text1"/>
                <w:sz w:val="21"/>
                <w:szCs w:val="21"/>
              </w:rPr>
              <w:t xml:space="preserve">If the property is in a flood zone, the flood insurance is required to be impounded (unless the Master HOA insurance covers and pays for the flood insurance).  </w:t>
            </w:r>
          </w:p>
          <w:p w14:paraId="06B3E6A7" w14:textId="56B8B0FB" w:rsidR="006F3587" w:rsidRPr="00175B7B" w:rsidRDefault="00207CFF" w:rsidP="00820FE7">
            <w:pPr>
              <w:pStyle w:val="ListParagraph"/>
              <w:numPr>
                <w:ilvl w:val="0"/>
                <w:numId w:val="42"/>
              </w:numPr>
              <w:rPr>
                <w:color w:val="000000" w:themeColor="text1"/>
                <w:sz w:val="21"/>
                <w:szCs w:val="21"/>
              </w:rPr>
            </w:pPr>
            <w:r w:rsidRPr="00175B7B">
              <w:rPr>
                <w:color w:val="000000" w:themeColor="text1"/>
                <w:sz w:val="21"/>
                <w:szCs w:val="21"/>
              </w:rPr>
              <w:t xml:space="preserve">If the property is located in an SFHA, borrowers must be notified within a reasonable time (generally, at least 10 days) before loan closing. </w:t>
            </w:r>
            <w:r w:rsidR="006F3587" w:rsidRPr="00175B7B">
              <w:rPr>
                <w:color w:val="000000" w:themeColor="text1"/>
                <w:sz w:val="21"/>
                <w:szCs w:val="21"/>
              </w:rPr>
              <w:t xml:space="preserve">The Special </w:t>
            </w:r>
            <w:r w:rsidR="006F3587" w:rsidRPr="00175B7B">
              <w:rPr>
                <w:color w:val="000000" w:themeColor="text1"/>
                <w:sz w:val="21"/>
                <w:szCs w:val="21"/>
              </w:rPr>
              <w:lastRenderedPageBreak/>
              <w:t xml:space="preserve">Flood Hazard Determination Notice must be wet-signed and dated.  </w:t>
            </w:r>
            <w:r w:rsidR="002D1DA1">
              <w:rPr>
                <w:color w:val="000000" w:themeColor="text1"/>
                <w:sz w:val="21"/>
                <w:szCs w:val="21"/>
              </w:rPr>
              <w:t>Axos Bank</w:t>
            </w:r>
            <w:r w:rsidR="006F3587" w:rsidRPr="00175B7B">
              <w:rPr>
                <w:color w:val="000000" w:themeColor="text1"/>
                <w:sz w:val="21"/>
                <w:szCs w:val="21"/>
              </w:rPr>
              <w:t xml:space="preserve"> does not currently accept a digitally signed or PDF-signed notice.</w:t>
            </w:r>
          </w:p>
          <w:p w14:paraId="45F9BDF5" w14:textId="7035BE0C" w:rsidR="00207CFF" w:rsidRPr="00175B7B" w:rsidRDefault="00207CFF" w:rsidP="00820FE7">
            <w:pPr>
              <w:pStyle w:val="ListParagraph"/>
              <w:numPr>
                <w:ilvl w:val="0"/>
                <w:numId w:val="42"/>
              </w:numPr>
              <w:rPr>
                <w:color w:val="000000" w:themeColor="text1"/>
                <w:sz w:val="21"/>
                <w:szCs w:val="21"/>
              </w:rPr>
            </w:pPr>
            <w:r w:rsidRPr="00175B7B">
              <w:rPr>
                <w:color w:val="000000" w:themeColor="text1"/>
                <w:sz w:val="21"/>
                <w:szCs w:val="21"/>
              </w:rPr>
              <w:t xml:space="preserve">The minimum amount of insurance coverage required must be equal to the lesser of: the outstanding principal balance of all loans secured by the property; the maximum amount available under the NFIP </w:t>
            </w:r>
          </w:p>
          <w:p w14:paraId="34197A8E" w14:textId="77777777" w:rsidR="00EF0713" w:rsidRPr="00175B7B" w:rsidRDefault="00207CFF" w:rsidP="00820FE7">
            <w:pPr>
              <w:pStyle w:val="ListParagraph"/>
              <w:numPr>
                <w:ilvl w:val="0"/>
                <w:numId w:val="42"/>
              </w:numPr>
              <w:rPr>
                <w:color w:val="000000" w:themeColor="text1"/>
                <w:sz w:val="21"/>
                <w:szCs w:val="21"/>
              </w:rPr>
            </w:pPr>
            <w:r w:rsidRPr="00175B7B">
              <w:rPr>
                <w:color w:val="000000" w:themeColor="text1"/>
                <w:sz w:val="21"/>
                <w:szCs w:val="21"/>
              </w:rPr>
              <w:t xml:space="preserve">The community </w:t>
            </w:r>
            <w:r w:rsidRPr="00175B7B">
              <w:rPr>
                <w:b/>
                <w:bCs/>
                <w:color w:val="000000" w:themeColor="text1"/>
                <w:sz w:val="21"/>
                <w:szCs w:val="21"/>
              </w:rPr>
              <w:t xml:space="preserve">must </w:t>
            </w:r>
            <w:r w:rsidRPr="00175B7B">
              <w:rPr>
                <w:color w:val="000000" w:themeColor="text1"/>
                <w:sz w:val="21"/>
                <w:szCs w:val="21"/>
              </w:rPr>
              <w:t>participate in the National</w:t>
            </w:r>
            <w:r w:rsidR="00EF0713" w:rsidRPr="00175B7B">
              <w:rPr>
                <w:color w:val="000000" w:themeColor="text1"/>
                <w:sz w:val="21"/>
                <w:szCs w:val="21"/>
              </w:rPr>
              <w:t xml:space="preserve"> Flood Insurance Program (NFIP)</w:t>
            </w:r>
          </w:p>
          <w:p w14:paraId="2983A3CB" w14:textId="367B5285" w:rsidR="00207CFF" w:rsidRPr="00175B7B" w:rsidRDefault="00207CFF" w:rsidP="00EF0713">
            <w:pPr>
              <w:pStyle w:val="ListParagraph"/>
              <w:rPr>
                <w:color w:val="000000" w:themeColor="text1"/>
                <w:sz w:val="21"/>
                <w:szCs w:val="21"/>
              </w:rPr>
            </w:pPr>
            <w:r w:rsidRPr="00175B7B">
              <w:rPr>
                <w:color w:val="000000" w:themeColor="text1"/>
                <w:sz w:val="21"/>
                <w:szCs w:val="21"/>
              </w:rPr>
              <w:t> </w:t>
            </w:r>
          </w:p>
          <w:p w14:paraId="3A2F6762" w14:textId="77777777" w:rsidR="00207CFF" w:rsidRPr="00175B7B" w:rsidRDefault="00207CFF" w:rsidP="00471F7C">
            <w:pPr>
              <w:rPr>
                <w:b/>
                <w:color w:val="000000" w:themeColor="text1"/>
                <w:sz w:val="21"/>
                <w:szCs w:val="21"/>
              </w:rPr>
            </w:pPr>
            <w:r w:rsidRPr="00175B7B">
              <w:rPr>
                <w:b/>
                <w:color w:val="000000" w:themeColor="text1"/>
                <w:sz w:val="21"/>
                <w:szCs w:val="21"/>
                <w:u w:val="single"/>
              </w:rPr>
              <w:t>Evidence Flood Insurance as follows:</w:t>
            </w:r>
          </w:p>
          <w:p w14:paraId="479DDCC3" w14:textId="77777777" w:rsidR="00207CFF" w:rsidRPr="00175B7B" w:rsidRDefault="00207CFF" w:rsidP="00820FE7">
            <w:pPr>
              <w:pStyle w:val="ListParagraph"/>
              <w:numPr>
                <w:ilvl w:val="0"/>
                <w:numId w:val="42"/>
              </w:numPr>
              <w:rPr>
                <w:color w:val="000000" w:themeColor="text1"/>
                <w:sz w:val="21"/>
                <w:szCs w:val="21"/>
              </w:rPr>
            </w:pPr>
            <w:r w:rsidRPr="00175B7B">
              <w:rPr>
                <w:color w:val="000000" w:themeColor="text1"/>
                <w:sz w:val="21"/>
                <w:szCs w:val="21"/>
              </w:rPr>
              <w:t>A copy of the Declaration Page</w:t>
            </w:r>
          </w:p>
          <w:p w14:paraId="0E2B0D98" w14:textId="5B0A5366" w:rsidR="00207CFF" w:rsidRPr="00175B7B" w:rsidRDefault="00207CFF" w:rsidP="00820FE7">
            <w:pPr>
              <w:pStyle w:val="ListParagraph"/>
              <w:numPr>
                <w:ilvl w:val="0"/>
                <w:numId w:val="42"/>
              </w:numPr>
              <w:rPr>
                <w:color w:val="000000" w:themeColor="text1"/>
                <w:sz w:val="21"/>
                <w:szCs w:val="21"/>
              </w:rPr>
            </w:pPr>
            <w:r w:rsidRPr="00175B7B">
              <w:rPr>
                <w:color w:val="000000" w:themeColor="text1"/>
                <w:sz w:val="21"/>
                <w:szCs w:val="21"/>
              </w:rPr>
              <w:t xml:space="preserve">A copy of the flood insurance application and evidence of premium payment </w:t>
            </w:r>
            <w:r w:rsidR="006F3587" w:rsidRPr="00175B7B">
              <w:rPr>
                <w:color w:val="000000" w:themeColor="text1"/>
                <w:sz w:val="21"/>
                <w:szCs w:val="21"/>
              </w:rPr>
              <w:t>for purchase</w:t>
            </w:r>
            <w:r w:rsidR="00EF0713" w:rsidRPr="00175B7B">
              <w:rPr>
                <w:color w:val="000000" w:themeColor="text1"/>
                <w:sz w:val="21"/>
                <w:szCs w:val="21"/>
              </w:rPr>
              <w:t>s</w:t>
            </w:r>
            <w:r w:rsidR="006F3587" w:rsidRPr="00175B7B">
              <w:rPr>
                <w:color w:val="000000" w:themeColor="text1"/>
                <w:sz w:val="21"/>
                <w:szCs w:val="21"/>
              </w:rPr>
              <w:t xml:space="preserve"> only.</w:t>
            </w:r>
          </w:p>
          <w:p w14:paraId="562B49BB" w14:textId="77777777" w:rsidR="00207CFF" w:rsidRPr="00175B7B" w:rsidRDefault="00207CFF" w:rsidP="00820FE7">
            <w:pPr>
              <w:pStyle w:val="ListParagraph"/>
              <w:numPr>
                <w:ilvl w:val="0"/>
                <w:numId w:val="42"/>
              </w:numPr>
              <w:rPr>
                <w:color w:val="000000" w:themeColor="text1"/>
                <w:sz w:val="21"/>
                <w:szCs w:val="21"/>
              </w:rPr>
            </w:pPr>
            <w:r w:rsidRPr="00175B7B">
              <w:rPr>
                <w:color w:val="000000" w:themeColor="text1"/>
                <w:sz w:val="21"/>
                <w:szCs w:val="21"/>
              </w:rPr>
              <w:t xml:space="preserve">For purchases, the Flood Policy must be in effect and </w:t>
            </w:r>
            <w:r w:rsidRPr="00175B7B">
              <w:rPr>
                <w:b/>
                <w:bCs/>
                <w:color w:val="000000" w:themeColor="text1"/>
                <w:sz w:val="21"/>
                <w:szCs w:val="21"/>
              </w:rPr>
              <w:t xml:space="preserve">paid </w:t>
            </w:r>
            <w:r w:rsidRPr="00175B7B">
              <w:rPr>
                <w:color w:val="000000" w:themeColor="text1"/>
                <w:sz w:val="21"/>
                <w:szCs w:val="21"/>
              </w:rPr>
              <w:t>before the borrowers sign loan documents. Provide proof of payment.</w:t>
            </w:r>
          </w:p>
          <w:p w14:paraId="55B87D59" w14:textId="77777777" w:rsidR="00207CFF" w:rsidRPr="00175B7B" w:rsidRDefault="00207CFF" w:rsidP="00820FE7">
            <w:pPr>
              <w:pStyle w:val="ListParagraph"/>
              <w:numPr>
                <w:ilvl w:val="0"/>
                <w:numId w:val="42"/>
              </w:numPr>
              <w:rPr>
                <w:color w:val="000000" w:themeColor="text1"/>
                <w:sz w:val="21"/>
                <w:szCs w:val="21"/>
              </w:rPr>
            </w:pPr>
            <w:r w:rsidRPr="00175B7B">
              <w:rPr>
                <w:b/>
                <w:color w:val="000000" w:themeColor="text1"/>
                <w:sz w:val="21"/>
                <w:szCs w:val="21"/>
              </w:rPr>
              <w:t>Please Note:</w:t>
            </w:r>
            <w:r w:rsidRPr="00175B7B">
              <w:rPr>
                <w:color w:val="000000" w:themeColor="text1"/>
                <w:sz w:val="21"/>
                <w:szCs w:val="21"/>
              </w:rPr>
              <w:t xml:space="preserve"> The NFIP </w:t>
            </w:r>
            <w:r w:rsidRPr="00175B7B">
              <w:rPr>
                <w:b/>
                <w:bCs/>
                <w:color w:val="000000" w:themeColor="text1"/>
                <w:sz w:val="21"/>
                <w:szCs w:val="21"/>
                <w:u w:val="single"/>
              </w:rPr>
              <w:t xml:space="preserve">does not </w:t>
            </w:r>
            <w:r w:rsidRPr="00175B7B">
              <w:rPr>
                <w:color w:val="000000" w:themeColor="text1"/>
                <w:sz w:val="21"/>
                <w:szCs w:val="21"/>
              </w:rPr>
              <w:t>recognize binders or certificates of insurance.</w:t>
            </w:r>
          </w:p>
          <w:p w14:paraId="21ADA72F" w14:textId="77777777" w:rsidR="00207CFF" w:rsidRPr="00175B7B" w:rsidRDefault="00207CFF" w:rsidP="00471F7C">
            <w:pPr>
              <w:pStyle w:val="ListParagraph"/>
              <w:ind w:left="1080"/>
              <w:rPr>
                <w:color w:val="000000" w:themeColor="text1"/>
                <w:sz w:val="21"/>
                <w:szCs w:val="21"/>
              </w:rPr>
            </w:pPr>
          </w:p>
          <w:p w14:paraId="1DF3867A" w14:textId="77777777" w:rsidR="00207CFF" w:rsidRPr="00175B7B" w:rsidRDefault="00207CFF" w:rsidP="00471F7C">
            <w:pPr>
              <w:rPr>
                <w:color w:val="000000" w:themeColor="text1"/>
                <w:sz w:val="21"/>
                <w:szCs w:val="21"/>
              </w:rPr>
            </w:pPr>
            <w:r w:rsidRPr="00175B7B">
              <w:rPr>
                <w:b/>
                <w:bCs/>
                <w:color w:val="000000" w:themeColor="text1"/>
                <w:sz w:val="21"/>
                <w:szCs w:val="21"/>
                <w:u w:val="single"/>
              </w:rPr>
              <w:t xml:space="preserve">Flood Insurance Declaration </w:t>
            </w:r>
          </w:p>
          <w:p w14:paraId="227AA5FA" w14:textId="5C13EDAE" w:rsidR="00207CFF" w:rsidRPr="00175B7B" w:rsidRDefault="00207CFF" w:rsidP="00820FE7">
            <w:pPr>
              <w:pStyle w:val="ListParagraph"/>
              <w:numPr>
                <w:ilvl w:val="0"/>
                <w:numId w:val="42"/>
              </w:numPr>
              <w:rPr>
                <w:color w:val="000000" w:themeColor="text1"/>
                <w:sz w:val="21"/>
                <w:szCs w:val="21"/>
              </w:rPr>
            </w:pPr>
            <w:r w:rsidRPr="00175B7B">
              <w:rPr>
                <w:color w:val="000000" w:themeColor="text1"/>
                <w:sz w:val="21"/>
                <w:szCs w:val="21"/>
              </w:rPr>
              <w:t>Must reflect the same flood zone as the flood certification</w:t>
            </w:r>
            <w:r w:rsidR="00EF0713" w:rsidRPr="00175B7B">
              <w:rPr>
                <w:color w:val="000000" w:themeColor="text1"/>
                <w:sz w:val="21"/>
                <w:szCs w:val="21"/>
              </w:rPr>
              <w:t xml:space="preserve"> and appraisal</w:t>
            </w:r>
          </w:p>
          <w:p w14:paraId="563E2F60" w14:textId="77777777" w:rsidR="00207CFF" w:rsidRPr="00175B7B" w:rsidRDefault="00207CFF" w:rsidP="00820FE7">
            <w:pPr>
              <w:pStyle w:val="ListParagraph"/>
              <w:numPr>
                <w:ilvl w:val="0"/>
                <w:numId w:val="42"/>
              </w:numPr>
              <w:rPr>
                <w:color w:val="000000" w:themeColor="text1"/>
                <w:sz w:val="21"/>
                <w:szCs w:val="21"/>
              </w:rPr>
            </w:pPr>
            <w:r w:rsidRPr="00175B7B">
              <w:rPr>
                <w:color w:val="000000" w:themeColor="text1"/>
                <w:sz w:val="21"/>
                <w:szCs w:val="21"/>
              </w:rPr>
              <w:t>The deductible may not exceed a maximum of:</w:t>
            </w:r>
          </w:p>
          <w:p w14:paraId="2AAC61A0" w14:textId="77777777" w:rsidR="00207CFF" w:rsidRPr="00175B7B" w:rsidRDefault="00207CFF" w:rsidP="00EF0713">
            <w:pPr>
              <w:pStyle w:val="ListParagraph"/>
              <w:rPr>
                <w:color w:val="000000" w:themeColor="text1"/>
                <w:sz w:val="21"/>
                <w:szCs w:val="21"/>
              </w:rPr>
            </w:pPr>
            <w:r w:rsidRPr="00175B7B">
              <w:rPr>
                <w:color w:val="000000" w:themeColor="text1"/>
                <w:sz w:val="21"/>
                <w:szCs w:val="21"/>
              </w:rPr>
              <w:t>$10,000 – Residential</w:t>
            </w:r>
          </w:p>
          <w:p w14:paraId="3229F23F" w14:textId="77777777" w:rsidR="00207CFF" w:rsidRPr="00175B7B" w:rsidRDefault="00207CFF" w:rsidP="00EF0713">
            <w:pPr>
              <w:pStyle w:val="ListParagraph"/>
              <w:rPr>
                <w:color w:val="000000" w:themeColor="text1"/>
                <w:sz w:val="21"/>
                <w:szCs w:val="21"/>
              </w:rPr>
            </w:pPr>
            <w:r w:rsidRPr="00175B7B">
              <w:rPr>
                <w:color w:val="000000" w:themeColor="text1"/>
                <w:sz w:val="21"/>
                <w:szCs w:val="21"/>
              </w:rPr>
              <w:t>$25,000 – Condos</w:t>
            </w:r>
          </w:p>
          <w:p w14:paraId="0E3F1A6E" w14:textId="77777777" w:rsidR="00207CFF" w:rsidRPr="00175B7B" w:rsidRDefault="00207CFF" w:rsidP="00820FE7">
            <w:pPr>
              <w:pStyle w:val="ListParagraph"/>
              <w:numPr>
                <w:ilvl w:val="0"/>
                <w:numId w:val="42"/>
              </w:numPr>
              <w:rPr>
                <w:color w:val="000000" w:themeColor="text1"/>
                <w:sz w:val="21"/>
                <w:szCs w:val="21"/>
              </w:rPr>
            </w:pPr>
            <w:r w:rsidRPr="00175B7B">
              <w:rPr>
                <w:color w:val="000000" w:themeColor="text1"/>
                <w:sz w:val="21"/>
                <w:szCs w:val="21"/>
              </w:rPr>
              <w:t>Subject property address and unit number must match the application</w:t>
            </w:r>
          </w:p>
          <w:p w14:paraId="25E5A2A3" w14:textId="77777777" w:rsidR="00207CFF" w:rsidRPr="00175B7B" w:rsidRDefault="00207CFF" w:rsidP="00820FE7">
            <w:pPr>
              <w:pStyle w:val="ListParagraph"/>
              <w:numPr>
                <w:ilvl w:val="0"/>
                <w:numId w:val="42"/>
              </w:numPr>
              <w:rPr>
                <w:color w:val="000000" w:themeColor="text1"/>
                <w:sz w:val="21"/>
                <w:szCs w:val="21"/>
              </w:rPr>
            </w:pPr>
            <w:r w:rsidRPr="00175B7B">
              <w:rPr>
                <w:color w:val="000000" w:themeColor="text1"/>
                <w:sz w:val="21"/>
                <w:szCs w:val="21"/>
              </w:rPr>
              <w:t>Policy number must be listed</w:t>
            </w:r>
          </w:p>
          <w:p w14:paraId="759D154A" w14:textId="3A9A8761" w:rsidR="00207CFF" w:rsidRPr="00175B7B" w:rsidRDefault="002D1DA1" w:rsidP="00820FE7">
            <w:pPr>
              <w:pStyle w:val="ListParagraph"/>
              <w:numPr>
                <w:ilvl w:val="0"/>
                <w:numId w:val="42"/>
              </w:numPr>
              <w:rPr>
                <w:color w:val="000000" w:themeColor="text1"/>
                <w:sz w:val="21"/>
                <w:szCs w:val="21"/>
              </w:rPr>
            </w:pPr>
            <w:r>
              <w:rPr>
                <w:color w:val="000000" w:themeColor="text1"/>
                <w:sz w:val="21"/>
                <w:szCs w:val="21"/>
              </w:rPr>
              <w:t>Axos Bank</w:t>
            </w:r>
            <w:r w:rsidR="00207CFF" w:rsidRPr="00175B7B">
              <w:rPr>
                <w:color w:val="000000" w:themeColor="text1"/>
                <w:sz w:val="21"/>
                <w:szCs w:val="21"/>
              </w:rPr>
              <w:t xml:space="preserve"> listed as the Mortgagee </w:t>
            </w:r>
          </w:p>
          <w:p w14:paraId="26469C10" w14:textId="77777777" w:rsidR="00207CFF" w:rsidRPr="00175B7B" w:rsidRDefault="00207CFF" w:rsidP="00820FE7">
            <w:pPr>
              <w:pStyle w:val="ListParagraph"/>
              <w:numPr>
                <w:ilvl w:val="0"/>
                <w:numId w:val="42"/>
              </w:numPr>
              <w:rPr>
                <w:color w:val="000000" w:themeColor="text1"/>
                <w:sz w:val="21"/>
                <w:szCs w:val="21"/>
              </w:rPr>
            </w:pPr>
            <w:r w:rsidRPr="00175B7B">
              <w:rPr>
                <w:color w:val="000000" w:themeColor="text1"/>
                <w:sz w:val="21"/>
                <w:szCs w:val="21"/>
              </w:rPr>
              <w:t>Policy must be paid current</w:t>
            </w:r>
          </w:p>
          <w:p w14:paraId="7DDDE61A" w14:textId="77777777" w:rsidR="00207CFF" w:rsidRPr="00175B7B" w:rsidRDefault="00207CFF" w:rsidP="00820FE7">
            <w:pPr>
              <w:pStyle w:val="ListParagraph"/>
              <w:numPr>
                <w:ilvl w:val="0"/>
                <w:numId w:val="42"/>
              </w:numPr>
              <w:rPr>
                <w:color w:val="000000" w:themeColor="text1"/>
                <w:sz w:val="21"/>
                <w:szCs w:val="21"/>
              </w:rPr>
            </w:pPr>
            <w:r w:rsidRPr="00175B7B">
              <w:rPr>
                <w:color w:val="000000" w:themeColor="text1"/>
                <w:sz w:val="21"/>
                <w:szCs w:val="21"/>
              </w:rPr>
              <w:t>If the policy is up for renewal within 60 days, the renewal premium and policy are required.</w:t>
            </w:r>
          </w:p>
          <w:p w14:paraId="44D180E9" w14:textId="77777777" w:rsidR="00207CFF" w:rsidRPr="00175B7B" w:rsidRDefault="00207CFF">
            <w:pPr>
              <w:rPr>
                <w:color w:val="000000" w:themeColor="text1"/>
                <w:sz w:val="21"/>
                <w:szCs w:val="21"/>
              </w:rPr>
            </w:pPr>
            <w:r w:rsidRPr="00175B7B">
              <w:rPr>
                <w:b/>
                <w:bCs/>
                <w:color w:val="000000" w:themeColor="text1"/>
                <w:sz w:val="21"/>
                <w:szCs w:val="21"/>
              </w:rPr>
              <w:t> </w:t>
            </w:r>
          </w:p>
          <w:p w14:paraId="344B4216" w14:textId="77777777" w:rsidR="00207CFF" w:rsidRPr="00175B7B" w:rsidRDefault="00207CFF">
            <w:pPr>
              <w:rPr>
                <w:color w:val="000000" w:themeColor="text1"/>
                <w:sz w:val="21"/>
                <w:szCs w:val="21"/>
              </w:rPr>
            </w:pPr>
            <w:r w:rsidRPr="00175B7B">
              <w:rPr>
                <w:b/>
                <w:bCs/>
                <w:color w:val="000000" w:themeColor="text1"/>
                <w:sz w:val="21"/>
                <w:szCs w:val="21"/>
                <w:u w:val="single"/>
              </w:rPr>
              <w:t>Condo Flood Insurance:</w:t>
            </w:r>
          </w:p>
          <w:p w14:paraId="46331EDB" w14:textId="37FC8784" w:rsidR="00207CFF" w:rsidRPr="00175B7B" w:rsidRDefault="00207CFF">
            <w:pPr>
              <w:rPr>
                <w:color w:val="000000" w:themeColor="text1"/>
                <w:sz w:val="21"/>
                <w:szCs w:val="21"/>
              </w:rPr>
            </w:pPr>
            <w:r w:rsidRPr="00175B7B">
              <w:rPr>
                <w:color w:val="000000" w:themeColor="text1"/>
                <w:sz w:val="21"/>
                <w:szCs w:val="21"/>
              </w:rPr>
              <w:t> </w:t>
            </w:r>
          </w:p>
          <w:p w14:paraId="6061387E" w14:textId="6573E2C6" w:rsidR="00A35F15" w:rsidRPr="00175B7B" w:rsidRDefault="00A35F15" w:rsidP="00A35F15">
            <w:pPr>
              <w:rPr>
                <w:color w:val="000000" w:themeColor="text1"/>
                <w:sz w:val="21"/>
                <w:szCs w:val="21"/>
              </w:rPr>
            </w:pPr>
            <w:r w:rsidRPr="00175B7B">
              <w:rPr>
                <w:color w:val="000000" w:themeColor="text1"/>
                <w:sz w:val="21"/>
                <w:szCs w:val="21"/>
              </w:rPr>
              <w:t>Condos require a</w:t>
            </w:r>
            <w:r w:rsidR="00175B7B" w:rsidRPr="00175B7B">
              <w:rPr>
                <w:color w:val="000000" w:themeColor="text1"/>
                <w:sz w:val="21"/>
                <w:szCs w:val="21"/>
              </w:rPr>
              <w:t xml:space="preserve"> NFIP</w:t>
            </w:r>
            <w:r w:rsidRPr="00175B7B">
              <w:rPr>
                <w:color w:val="000000" w:themeColor="text1"/>
                <w:sz w:val="21"/>
                <w:szCs w:val="21"/>
              </w:rPr>
              <w:t xml:space="preserve"> Residential Condominium Building Association Policy</w:t>
            </w:r>
            <w:r w:rsidR="00175B7B" w:rsidRPr="00175B7B">
              <w:rPr>
                <w:color w:val="000000" w:themeColor="text1"/>
                <w:sz w:val="21"/>
                <w:szCs w:val="21"/>
              </w:rPr>
              <w:t xml:space="preserve"> (RCBAP) </w:t>
            </w:r>
          </w:p>
          <w:p w14:paraId="74AD04A9" w14:textId="64074C8F" w:rsidR="00A35F15" w:rsidRPr="00175B7B" w:rsidRDefault="00A35F15" w:rsidP="00A35F15">
            <w:pPr>
              <w:rPr>
                <w:color w:val="000000" w:themeColor="text1"/>
                <w:sz w:val="21"/>
                <w:szCs w:val="21"/>
              </w:rPr>
            </w:pPr>
          </w:p>
          <w:p w14:paraId="5D237CDF" w14:textId="77777777" w:rsidR="00175B7B" w:rsidRPr="00175B7B" w:rsidRDefault="00175B7B" w:rsidP="00175B7B">
            <w:pPr>
              <w:rPr>
                <w:color w:val="000000" w:themeColor="text1"/>
                <w:sz w:val="21"/>
                <w:szCs w:val="21"/>
              </w:rPr>
            </w:pPr>
            <w:r w:rsidRPr="00175B7B">
              <w:rPr>
                <w:color w:val="000000" w:themeColor="text1"/>
                <w:sz w:val="21"/>
                <w:szCs w:val="21"/>
              </w:rPr>
              <w:t>Coverage required</w:t>
            </w:r>
          </w:p>
          <w:p w14:paraId="357A501A" w14:textId="77777777" w:rsidR="00175B7B" w:rsidRPr="00175B7B" w:rsidRDefault="00175B7B" w:rsidP="00820FE7">
            <w:pPr>
              <w:pStyle w:val="ListParagraph"/>
              <w:numPr>
                <w:ilvl w:val="0"/>
                <w:numId w:val="42"/>
              </w:numPr>
              <w:rPr>
                <w:color w:val="000000" w:themeColor="text1"/>
                <w:sz w:val="21"/>
                <w:szCs w:val="21"/>
              </w:rPr>
            </w:pPr>
            <w:r w:rsidRPr="00175B7B">
              <w:rPr>
                <w:color w:val="000000" w:themeColor="text1"/>
                <w:sz w:val="21"/>
                <w:szCs w:val="21"/>
              </w:rPr>
              <w:t>Total number of units in condo building multiplied by $250,000 or</w:t>
            </w:r>
          </w:p>
          <w:p w14:paraId="305FCE29" w14:textId="1C0BE06C" w:rsidR="00175B7B" w:rsidRDefault="00175B7B" w:rsidP="00820FE7">
            <w:pPr>
              <w:pStyle w:val="ListParagraph"/>
              <w:numPr>
                <w:ilvl w:val="0"/>
                <w:numId w:val="42"/>
              </w:numPr>
              <w:rPr>
                <w:color w:val="000000" w:themeColor="text1"/>
                <w:sz w:val="21"/>
                <w:szCs w:val="21"/>
              </w:rPr>
            </w:pPr>
            <w:r w:rsidRPr="00175B7B">
              <w:rPr>
                <w:color w:val="000000" w:themeColor="text1"/>
                <w:sz w:val="21"/>
                <w:szCs w:val="21"/>
              </w:rPr>
              <w:t>Outstanding principal balance of the loan or maximum available under NFIP, whichever is less</w:t>
            </w:r>
          </w:p>
          <w:p w14:paraId="73E5A89F" w14:textId="77777777" w:rsidR="00175B7B" w:rsidRDefault="00175B7B" w:rsidP="00820FE7">
            <w:pPr>
              <w:pStyle w:val="ListParagraph"/>
              <w:numPr>
                <w:ilvl w:val="0"/>
                <w:numId w:val="42"/>
              </w:numPr>
              <w:rPr>
                <w:sz w:val="21"/>
                <w:szCs w:val="21"/>
              </w:rPr>
            </w:pPr>
            <w:r>
              <w:rPr>
                <w:sz w:val="21"/>
                <w:szCs w:val="21"/>
              </w:rPr>
              <w:t>If the unit’s portion of the RCBAP is insufficient to meet the regulatory purchase requirements</w:t>
            </w:r>
            <w:r w:rsidRPr="00175B7B">
              <w:rPr>
                <w:color w:val="000000" w:themeColor="text1"/>
                <w:sz w:val="21"/>
                <w:szCs w:val="21"/>
              </w:rPr>
              <w:t xml:space="preserve">, borrower to ask </w:t>
            </w:r>
            <w:r>
              <w:rPr>
                <w:sz w:val="21"/>
                <w:szCs w:val="21"/>
              </w:rPr>
              <w:t>the association to carry adequate limits or borrower to purchase a separate dwelling policy.</w:t>
            </w:r>
          </w:p>
          <w:p w14:paraId="0EAD5A9E" w14:textId="77777777" w:rsidR="00175B7B" w:rsidRPr="00175B7B" w:rsidRDefault="00175B7B" w:rsidP="00175B7B">
            <w:pPr>
              <w:pStyle w:val="ListParagraph"/>
              <w:rPr>
                <w:color w:val="000000" w:themeColor="text1"/>
                <w:sz w:val="21"/>
                <w:szCs w:val="21"/>
              </w:rPr>
            </w:pPr>
          </w:p>
          <w:p w14:paraId="39DCFF0C" w14:textId="77777777" w:rsidR="00207CFF" w:rsidRPr="00175B7B" w:rsidRDefault="00207CFF">
            <w:pPr>
              <w:jc w:val="both"/>
              <w:rPr>
                <w:color w:val="000000" w:themeColor="text1"/>
                <w:sz w:val="21"/>
                <w:szCs w:val="21"/>
              </w:rPr>
            </w:pPr>
            <w:r w:rsidRPr="00175B7B">
              <w:rPr>
                <w:b/>
                <w:bCs/>
                <w:color w:val="000000" w:themeColor="text1"/>
                <w:sz w:val="21"/>
                <w:szCs w:val="21"/>
                <w:u w:val="single"/>
              </w:rPr>
              <w:t>Detached Structures:</w:t>
            </w:r>
            <w:r w:rsidRPr="00175B7B">
              <w:rPr>
                <w:color w:val="000000" w:themeColor="text1"/>
                <w:sz w:val="21"/>
                <w:szCs w:val="21"/>
              </w:rPr>
              <w:t xml:space="preserve"> </w:t>
            </w:r>
          </w:p>
          <w:p w14:paraId="6E314FDD" w14:textId="77777777" w:rsidR="00207CFF" w:rsidRPr="00175B7B" w:rsidRDefault="00207CFF">
            <w:pPr>
              <w:jc w:val="both"/>
              <w:rPr>
                <w:color w:val="000000" w:themeColor="text1"/>
                <w:sz w:val="21"/>
                <w:szCs w:val="21"/>
              </w:rPr>
            </w:pPr>
            <w:r w:rsidRPr="00175B7B">
              <w:rPr>
                <w:color w:val="000000" w:themeColor="text1"/>
                <w:sz w:val="21"/>
                <w:szCs w:val="21"/>
              </w:rPr>
              <w:t> </w:t>
            </w:r>
          </w:p>
          <w:p w14:paraId="74D1CFB0" w14:textId="77777777" w:rsidR="00207CFF" w:rsidRPr="00175B7B" w:rsidRDefault="00207CFF" w:rsidP="00820FE7">
            <w:pPr>
              <w:pStyle w:val="ListParagraph"/>
              <w:numPr>
                <w:ilvl w:val="0"/>
                <w:numId w:val="42"/>
              </w:numPr>
              <w:jc w:val="both"/>
              <w:rPr>
                <w:color w:val="000000" w:themeColor="text1"/>
                <w:sz w:val="21"/>
                <w:szCs w:val="21"/>
              </w:rPr>
            </w:pPr>
            <w:r w:rsidRPr="00175B7B">
              <w:rPr>
                <w:color w:val="000000" w:themeColor="text1"/>
                <w:sz w:val="21"/>
                <w:szCs w:val="21"/>
              </w:rPr>
              <w:t xml:space="preserve">Flood insurance shall not be required in the case of residential property, for any structure that is part of such property, but is </w:t>
            </w:r>
            <w:r w:rsidRPr="00175B7B">
              <w:rPr>
                <w:b/>
                <w:bCs/>
                <w:color w:val="000000" w:themeColor="text1"/>
                <w:sz w:val="21"/>
                <w:szCs w:val="21"/>
                <w:u w:val="single"/>
              </w:rPr>
              <w:t>detached</w:t>
            </w:r>
            <w:r w:rsidRPr="00175B7B">
              <w:rPr>
                <w:color w:val="000000" w:themeColor="text1"/>
                <w:sz w:val="21"/>
                <w:szCs w:val="21"/>
              </w:rPr>
              <w:t xml:space="preserve"> from the primary residential structure of such property and does not serve as a</w:t>
            </w:r>
            <w:r w:rsidRPr="00175B7B">
              <w:rPr>
                <w:b/>
                <w:bCs/>
                <w:color w:val="000000" w:themeColor="text1"/>
                <w:sz w:val="21"/>
                <w:szCs w:val="21"/>
              </w:rPr>
              <w:t xml:space="preserve"> residence</w:t>
            </w:r>
            <w:r w:rsidRPr="00175B7B">
              <w:rPr>
                <w:color w:val="000000" w:themeColor="text1"/>
                <w:sz w:val="21"/>
                <w:szCs w:val="21"/>
              </w:rPr>
              <w:t xml:space="preserve">. </w:t>
            </w:r>
          </w:p>
          <w:p w14:paraId="30197D43" w14:textId="77777777" w:rsidR="00207CFF" w:rsidRPr="00175B7B" w:rsidRDefault="00207CFF" w:rsidP="00820FE7">
            <w:pPr>
              <w:pStyle w:val="ListParagraph"/>
              <w:numPr>
                <w:ilvl w:val="0"/>
                <w:numId w:val="42"/>
              </w:numPr>
              <w:jc w:val="both"/>
              <w:rPr>
                <w:color w:val="000000" w:themeColor="text1"/>
                <w:sz w:val="21"/>
                <w:szCs w:val="21"/>
              </w:rPr>
            </w:pPr>
            <w:r w:rsidRPr="00175B7B">
              <w:rPr>
                <w:b/>
                <w:bCs/>
                <w:color w:val="000000" w:themeColor="text1"/>
                <w:sz w:val="21"/>
                <w:szCs w:val="21"/>
              </w:rPr>
              <w:t>Note:</w:t>
            </w:r>
            <w:r w:rsidRPr="00175B7B">
              <w:rPr>
                <w:color w:val="000000" w:themeColor="text1"/>
                <w:sz w:val="21"/>
                <w:szCs w:val="21"/>
              </w:rPr>
              <w:t xml:space="preserve"> All residences such as guest cottages on the property, will require flood insurance.  Barns, detached garages, workshop, etc. will not require additional flood coverage.</w:t>
            </w:r>
          </w:p>
          <w:p w14:paraId="5CE74396" w14:textId="77777777" w:rsidR="00207CFF" w:rsidRPr="00175B7B" w:rsidRDefault="00207CFF" w:rsidP="00820FE7">
            <w:pPr>
              <w:pStyle w:val="ListParagraph"/>
              <w:numPr>
                <w:ilvl w:val="0"/>
                <w:numId w:val="42"/>
              </w:numPr>
              <w:jc w:val="both"/>
              <w:rPr>
                <w:color w:val="000000" w:themeColor="text1"/>
                <w:sz w:val="21"/>
                <w:szCs w:val="21"/>
              </w:rPr>
            </w:pPr>
            <w:r w:rsidRPr="00175B7B">
              <w:rPr>
                <w:color w:val="000000" w:themeColor="text1"/>
                <w:sz w:val="21"/>
                <w:szCs w:val="21"/>
              </w:rPr>
              <w:t>The coverage required is the lesser of RCV, NFIP Maximum and the loan balance.  </w:t>
            </w:r>
          </w:p>
          <w:p w14:paraId="2F18BFF0" w14:textId="77777777" w:rsidR="00207CFF" w:rsidRPr="00175B7B" w:rsidRDefault="00207CFF" w:rsidP="00471F7C">
            <w:pPr>
              <w:pStyle w:val="ListParagraph"/>
              <w:jc w:val="both"/>
              <w:rPr>
                <w:color w:val="000000" w:themeColor="text1"/>
                <w:sz w:val="21"/>
                <w:szCs w:val="21"/>
              </w:rPr>
            </w:pPr>
            <w:r w:rsidRPr="00175B7B">
              <w:rPr>
                <w:color w:val="000000" w:themeColor="text1"/>
                <w:sz w:val="21"/>
                <w:szCs w:val="21"/>
              </w:rPr>
              <w:t> </w:t>
            </w:r>
          </w:p>
          <w:p w14:paraId="638829FC" w14:textId="5ECB71A4" w:rsidR="00207CFF" w:rsidRPr="00175B7B" w:rsidRDefault="00207CFF">
            <w:pPr>
              <w:jc w:val="both"/>
              <w:rPr>
                <w:b/>
                <w:bCs/>
                <w:color w:val="000000" w:themeColor="text1"/>
                <w:sz w:val="21"/>
                <w:szCs w:val="21"/>
                <w:u w:val="single"/>
              </w:rPr>
            </w:pPr>
            <w:r w:rsidRPr="00175B7B">
              <w:rPr>
                <w:b/>
                <w:bCs/>
                <w:color w:val="000000" w:themeColor="text1"/>
                <w:sz w:val="21"/>
                <w:szCs w:val="21"/>
                <w:u w:val="single"/>
              </w:rPr>
              <w:t>Private Flood Insurance policies for SFR only:</w:t>
            </w:r>
          </w:p>
          <w:p w14:paraId="3DD380F0" w14:textId="77777777" w:rsidR="00EF0713" w:rsidRPr="00175B7B" w:rsidRDefault="00EF0713">
            <w:pPr>
              <w:jc w:val="both"/>
              <w:rPr>
                <w:color w:val="000000" w:themeColor="text1"/>
                <w:sz w:val="21"/>
                <w:szCs w:val="21"/>
              </w:rPr>
            </w:pPr>
          </w:p>
          <w:p w14:paraId="48ED69D8" w14:textId="77777777" w:rsidR="00820FE7" w:rsidRPr="00820FE7" w:rsidRDefault="00820FE7" w:rsidP="00820FE7">
            <w:pPr>
              <w:pStyle w:val="NoSpacing"/>
              <w:numPr>
                <w:ilvl w:val="0"/>
                <w:numId w:val="42"/>
              </w:numPr>
              <w:rPr>
                <w:color w:val="000000" w:themeColor="text1"/>
                <w:sz w:val="21"/>
                <w:szCs w:val="21"/>
              </w:rPr>
            </w:pPr>
            <w:r w:rsidRPr="00820FE7">
              <w:rPr>
                <w:color w:val="000000" w:themeColor="text1"/>
                <w:sz w:val="21"/>
                <w:szCs w:val="21"/>
              </w:rPr>
              <w:lastRenderedPageBreak/>
              <w:t>Private flood insurance policies are only accepted if they meet all the same criteria as a NFIP Policy.</w:t>
            </w:r>
          </w:p>
          <w:p w14:paraId="570260AE" w14:textId="77777777" w:rsidR="00820FE7" w:rsidRPr="00820FE7" w:rsidRDefault="00820FE7" w:rsidP="00820FE7">
            <w:pPr>
              <w:pStyle w:val="ListParagraph"/>
              <w:numPr>
                <w:ilvl w:val="0"/>
                <w:numId w:val="42"/>
              </w:numPr>
              <w:rPr>
                <w:color w:val="000000" w:themeColor="text1"/>
                <w:sz w:val="21"/>
                <w:szCs w:val="21"/>
              </w:rPr>
            </w:pPr>
            <w:r w:rsidRPr="00820FE7">
              <w:rPr>
                <w:color w:val="000000" w:themeColor="text1"/>
                <w:sz w:val="21"/>
                <w:szCs w:val="21"/>
              </w:rPr>
              <w:t xml:space="preserve">Provide a copy of the </w:t>
            </w:r>
            <w:r w:rsidRPr="00820FE7">
              <w:rPr>
                <w:color w:val="000000" w:themeColor="text1"/>
                <w:sz w:val="21"/>
                <w:szCs w:val="21"/>
                <w:u w:val="single"/>
              </w:rPr>
              <w:t>full</w:t>
            </w:r>
            <w:r w:rsidRPr="00820FE7">
              <w:rPr>
                <w:color w:val="000000" w:themeColor="text1"/>
                <w:sz w:val="21"/>
                <w:szCs w:val="21"/>
              </w:rPr>
              <w:t xml:space="preserve"> private flood insurance policy for our review.</w:t>
            </w:r>
          </w:p>
          <w:p w14:paraId="79FABFAC" w14:textId="7F086DD8" w:rsidR="00B62949" w:rsidRPr="00175B7B" w:rsidRDefault="00B62949" w:rsidP="00820FE7">
            <w:pPr>
              <w:pStyle w:val="ListParagraph"/>
              <w:jc w:val="both"/>
              <w:rPr>
                <w:rFonts w:cs="Arial"/>
                <w:color w:val="000000" w:themeColor="text1"/>
                <w:sz w:val="21"/>
                <w:szCs w:val="21"/>
              </w:rPr>
            </w:pPr>
          </w:p>
        </w:tc>
      </w:tr>
      <w:tr w:rsidR="00EC0B05" w:rsidRPr="00EC0B05" w14:paraId="1E9E1748" w14:textId="77777777" w:rsidTr="0063752F">
        <w:tc>
          <w:tcPr>
            <w:tcW w:w="1336" w:type="pct"/>
          </w:tcPr>
          <w:p w14:paraId="1D0EA152" w14:textId="77777777" w:rsidR="000016AE" w:rsidRPr="00EC0B05" w:rsidRDefault="000016AE" w:rsidP="00471F7C">
            <w:pPr>
              <w:rPr>
                <w:b/>
                <w:sz w:val="21"/>
                <w:szCs w:val="21"/>
              </w:rPr>
            </w:pPr>
            <w:bookmarkStart w:id="44" w:name="foreign_credit_rpt"/>
            <w:r w:rsidRPr="00EC0B05">
              <w:rPr>
                <w:b/>
                <w:sz w:val="21"/>
                <w:szCs w:val="21"/>
              </w:rPr>
              <w:lastRenderedPageBreak/>
              <w:t>Foreign Credit Reports and Credit Scores</w:t>
            </w:r>
            <w:bookmarkEnd w:id="44"/>
          </w:p>
        </w:tc>
        <w:tc>
          <w:tcPr>
            <w:tcW w:w="3664" w:type="pct"/>
          </w:tcPr>
          <w:p w14:paraId="185C0A64" w14:textId="77777777" w:rsidR="007F09F9" w:rsidRPr="008212A0" w:rsidRDefault="000016AE">
            <w:pPr>
              <w:keepNext/>
              <w:ind w:right="482"/>
              <w:contextualSpacing/>
              <w:rPr>
                <w:w w:val="110"/>
                <w:sz w:val="20"/>
                <w:szCs w:val="20"/>
              </w:rPr>
            </w:pPr>
            <w:r w:rsidRPr="008212A0">
              <w:rPr>
                <w:w w:val="110"/>
                <w:sz w:val="20"/>
                <w:szCs w:val="20"/>
              </w:rPr>
              <w:t xml:space="preserve">It is appropriate to use a credit report from a foreign country to document a borrower's credit history.  If a foreign credit report is not available, request </w:t>
            </w:r>
            <w:r w:rsidR="00A3256E" w:rsidRPr="008212A0">
              <w:rPr>
                <w:w w:val="110"/>
                <w:sz w:val="20"/>
                <w:szCs w:val="20"/>
              </w:rPr>
              <w:t>2</w:t>
            </w:r>
            <w:r w:rsidRPr="008212A0">
              <w:rPr>
                <w:w w:val="110"/>
                <w:sz w:val="20"/>
                <w:szCs w:val="20"/>
              </w:rPr>
              <w:t xml:space="preserve"> alternative credit references.  If the reference is not in English, it must be translated by a certified translator.  </w:t>
            </w:r>
          </w:p>
          <w:p w14:paraId="1B136F6A" w14:textId="77777777" w:rsidR="007F09F9" w:rsidRPr="008212A0" w:rsidRDefault="007F09F9">
            <w:pPr>
              <w:keepNext/>
              <w:ind w:right="482"/>
              <w:contextualSpacing/>
              <w:rPr>
                <w:w w:val="110"/>
                <w:sz w:val="20"/>
                <w:szCs w:val="20"/>
              </w:rPr>
            </w:pPr>
          </w:p>
          <w:p w14:paraId="554F892D" w14:textId="1E0759F9" w:rsidR="000016AE" w:rsidRPr="008212A0" w:rsidRDefault="000016AE">
            <w:pPr>
              <w:keepNext/>
              <w:ind w:right="482"/>
              <w:contextualSpacing/>
              <w:rPr>
                <w:w w:val="110"/>
                <w:sz w:val="20"/>
                <w:szCs w:val="20"/>
              </w:rPr>
            </w:pPr>
            <w:r w:rsidRPr="008212A0">
              <w:rPr>
                <w:w w:val="110"/>
                <w:sz w:val="20"/>
                <w:szCs w:val="20"/>
              </w:rPr>
              <w:t xml:space="preserve">If fewer than </w:t>
            </w:r>
            <w:r w:rsidR="00A3256E" w:rsidRPr="008212A0">
              <w:rPr>
                <w:w w:val="110"/>
                <w:sz w:val="20"/>
                <w:szCs w:val="20"/>
              </w:rPr>
              <w:t>2</w:t>
            </w:r>
            <w:r w:rsidRPr="008212A0">
              <w:rPr>
                <w:w w:val="110"/>
                <w:sz w:val="20"/>
                <w:szCs w:val="20"/>
              </w:rPr>
              <w:t xml:space="preserve"> alternative trade lines are available, the underwriter should carefully evaluate the borrower’s credit depth to determine qualification.  Credit outside the U.S. may not meet the same standards as credit within (many Countries do not extend revolving credit to borrowers).  Consequently, letters of reference regarding banking relationships may be utilized to help determine qualification.</w:t>
            </w:r>
          </w:p>
          <w:p w14:paraId="674E5AA3" w14:textId="77777777" w:rsidR="000016AE" w:rsidRPr="008212A0" w:rsidRDefault="000016AE">
            <w:pPr>
              <w:widowControl w:val="0"/>
              <w:ind w:right="482"/>
              <w:contextualSpacing/>
              <w:rPr>
                <w:w w:val="110"/>
                <w:sz w:val="20"/>
                <w:szCs w:val="20"/>
              </w:rPr>
            </w:pPr>
          </w:p>
          <w:p w14:paraId="43F81082" w14:textId="6D7515EC" w:rsidR="000016AE" w:rsidRPr="008212A0" w:rsidRDefault="007F09F9">
            <w:pPr>
              <w:contextualSpacing/>
              <w:rPr>
                <w:sz w:val="20"/>
                <w:szCs w:val="20"/>
              </w:rPr>
            </w:pPr>
            <w:r w:rsidRPr="008212A0">
              <w:rPr>
                <w:w w:val="110"/>
                <w:sz w:val="20"/>
                <w:szCs w:val="20"/>
              </w:rPr>
              <w:t xml:space="preserve">A zero "0" credit score </w:t>
            </w:r>
            <w:r w:rsidR="000016AE" w:rsidRPr="008212A0">
              <w:rPr>
                <w:w w:val="110"/>
                <w:sz w:val="20"/>
                <w:szCs w:val="20"/>
              </w:rPr>
              <w:t xml:space="preserve">is used in the absence of a credit score </w:t>
            </w:r>
            <w:r w:rsidRPr="008212A0">
              <w:rPr>
                <w:w w:val="110"/>
                <w:sz w:val="20"/>
                <w:szCs w:val="20"/>
              </w:rPr>
              <w:t xml:space="preserve">for an NRA borrower </w:t>
            </w:r>
            <w:r w:rsidR="000016AE" w:rsidRPr="008212A0">
              <w:rPr>
                <w:w w:val="110"/>
                <w:sz w:val="20"/>
                <w:szCs w:val="20"/>
              </w:rPr>
              <w:t>and not an exception to a minimum credit score requirement.  The underwriter may utilize alternative methods to document satisfactory evidence of borrower history to repay debt obligations in this circumstance</w:t>
            </w:r>
          </w:p>
        </w:tc>
      </w:tr>
      <w:tr w:rsidR="00EC0B05" w:rsidRPr="00EC0B05" w14:paraId="7662979F" w14:textId="77777777" w:rsidTr="0063752F">
        <w:tc>
          <w:tcPr>
            <w:tcW w:w="1336" w:type="pct"/>
          </w:tcPr>
          <w:p w14:paraId="31EFE6A5" w14:textId="77777777" w:rsidR="000016AE" w:rsidRPr="00EC0B05" w:rsidRDefault="000016AE" w:rsidP="00471F7C">
            <w:pPr>
              <w:rPr>
                <w:b/>
                <w:sz w:val="21"/>
                <w:szCs w:val="21"/>
              </w:rPr>
            </w:pPr>
            <w:bookmarkStart w:id="45" w:name="foreign_inc"/>
            <w:r w:rsidRPr="00EC0B05">
              <w:rPr>
                <w:b/>
                <w:sz w:val="21"/>
                <w:szCs w:val="21"/>
              </w:rPr>
              <w:t>Foreign Income</w:t>
            </w:r>
            <w:bookmarkEnd w:id="45"/>
          </w:p>
        </w:tc>
        <w:tc>
          <w:tcPr>
            <w:tcW w:w="3664" w:type="pct"/>
          </w:tcPr>
          <w:p w14:paraId="2872BE06" w14:textId="1E55CE0C" w:rsidR="00F303AE" w:rsidRDefault="000016AE">
            <w:pPr>
              <w:contextualSpacing/>
              <w:rPr>
                <w:w w:val="110"/>
                <w:sz w:val="21"/>
                <w:szCs w:val="21"/>
              </w:rPr>
            </w:pPr>
            <w:r w:rsidRPr="00EC0B05">
              <w:rPr>
                <w:w w:val="110"/>
                <w:sz w:val="21"/>
                <w:szCs w:val="21"/>
              </w:rPr>
              <w:t>If a borrower (U.S. Citizen, Permanent Resident Alien or Non-Permanent Resident Alien) is employed by a foreign company, U.S. tax returns to support</w:t>
            </w:r>
            <w:r w:rsidR="00F303AE">
              <w:rPr>
                <w:w w:val="110"/>
                <w:sz w:val="21"/>
                <w:szCs w:val="21"/>
              </w:rPr>
              <w:t xml:space="preserve"> the</w:t>
            </w:r>
            <w:r w:rsidRPr="00EC0B05">
              <w:rPr>
                <w:w w:val="110"/>
                <w:sz w:val="21"/>
                <w:szCs w:val="21"/>
              </w:rPr>
              <w:t xml:space="preserve"> foreign tax credit</w:t>
            </w:r>
            <w:r w:rsidR="00F303AE">
              <w:rPr>
                <w:w w:val="110"/>
                <w:sz w:val="21"/>
                <w:szCs w:val="21"/>
              </w:rPr>
              <w:t xml:space="preserve"> must be obtained. </w:t>
            </w:r>
          </w:p>
          <w:p w14:paraId="2F54BFC2" w14:textId="77777777" w:rsidR="00F303AE" w:rsidRDefault="00F303AE">
            <w:pPr>
              <w:contextualSpacing/>
              <w:rPr>
                <w:w w:val="110"/>
                <w:sz w:val="21"/>
                <w:szCs w:val="21"/>
              </w:rPr>
            </w:pPr>
          </w:p>
          <w:p w14:paraId="23962EAE" w14:textId="77777777" w:rsidR="004C694A" w:rsidRDefault="004C694A" w:rsidP="004C694A">
            <w:pPr>
              <w:contextualSpacing/>
              <w:rPr>
                <w:w w:val="110"/>
                <w:sz w:val="21"/>
                <w:szCs w:val="21"/>
              </w:rPr>
            </w:pPr>
            <w:r>
              <w:rPr>
                <w:w w:val="110"/>
                <w:sz w:val="21"/>
                <w:szCs w:val="21"/>
              </w:rPr>
              <w:t>U.S. citizens, PRAs and NPRAs may NOT qualify solely on foreign tax returns.</w:t>
            </w:r>
          </w:p>
          <w:p w14:paraId="53898707" w14:textId="77777777" w:rsidR="004C694A" w:rsidRDefault="004C694A" w:rsidP="004C694A">
            <w:pPr>
              <w:contextualSpacing/>
              <w:rPr>
                <w:w w:val="110"/>
                <w:sz w:val="21"/>
                <w:szCs w:val="21"/>
              </w:rPr>
            </w:pPr>
          </w:p>
          <w:p w14:paraId="5B701857" w14:textId="47F61A90" w:rsidR="000016AE" w:rsidRPr="00EC0B05" w:rsidRDefault="004C694A">
            <w:pPr>
              <w:contextualSpacing/>
              <w:rPr>
                <w:w w:val="110"/>
                <w:sz w:val="21"/>
                <w:szCs w:val="21"/>
              </w:rPr>
            </w:pPr>
            <w:r>
              <w:rPr>
                <w:w w:val="110"/>
                <w:sz w:val="21"/>
                <w:szCs w:val="21"/>
              </w:rPr>
              <w:t>Additionally</w:t>
            </w:r>
            <w:r w:rsidRPr="00EC0B05">
              <w:rPr>
                <w:w w:val="110"/>
                <w:sz w:val="21"/>
                <w:szCs w:val="21"/>
              </w:rPr>
              <w:t>,</w:t>
            </w:r>
            <w:r>
              <w:rPr>
                <w:w w:val="110"/>
                <w:sz w:val="21"/>
                <w:szCs w:val="21"/>
              </w:rPr>
              <w:t xml:space="preserve"> foreign tax returns,</w:t>
            </w:r>
            <w:r w:rsidRPr="00EC0B05">
              <w:rPr>
                <w:w w:val="110"/>
                <w:sz w:val="21"/>
                <w:szCs w:val="21"/>
              </w:rPr>
              <w:t xml:space="preserve"> if applicable</w:t>
            </w:r>
            <w:r>
              <w:rPr>
                <w:w w:val="110"/>
                <w:sz w:val="21"/>
                <w:szCs w:val="21"/>
              </w:rPr>
              <w:t>, may be required at the underwriter’s discretion</w:t>
            </w:r>
            <w:r w:rsidRPr="00EC0B05">
              <w:rPr>
                <w:w w:val="110"/>
                <w:sz w:val="21"/>
                <w:szCs w:val="21"/>
              </w:rPr>
              <w:t>.</w:t>
            </w:r>
            <w:r>
              <w:rPr>
                <w:w w:val="110"/>
                <w:sz w:val="21"/>
                <w:szCs w:val="21"/>
              </w:rPr>
              <w:t xml:space="preserve">  </w:t>
            </w:r>
            <w:r w:rsidRPr="00EC0B05">
              <w:rPr>
                <w:w w:val="110"/>
                <w:sz w:val="21"/>
                <w:szCs w:val="21"/>
              </w:rPr>
              <w:t xml:space="preserve">  </w:t>
            </w:r>
            <w:r w:rsidR="000016AE" w:rsidRPr="00EC0B05">
              <w:rPr>
                <w:w w:val="110"/>
                <w:sz w:val="21"/>
                <w:szCs w:val="21"/>
              </w:rPr>
              <w:t xml:space="preserve">  </w:t>
            </w:r>
          </w:p>
        </w:tc>
      </w:tr>
      <w:tr w:rsidR="00EC0B05" w:rsidRPr="00EC0B05" w14:paraId="2E677006" w14:textId="77777777" w:rsidTr="0063752F">
        <w:tc>
          <w:tcPr>
            <w:tcW w:w="1336" w:type="pct"/>
          </w:tcPr>
          <w:p w14:paraId="3F5F9CAF" w14:textId="77777777" w:rsidR="000016AE" w:rsidRPr="00EC0B05" w:rsidRDefault="000016AE" w:rsidP="00471F7C">
            <w:pPr>
              <w:rPr>
                <w:b/>
                <w:sz w:val="21"/>
                <w:szCs w:val="21"/>
              </w:rPr>
            </w:pPr>
            <w:bookmarkStart w:id="46" w:name="gifts"/>
            <w:r w:rsidRPr="00EC0B05">
              <w:rPr>
                <w:b/>
                <w:sz w:val="21"/>
                <w:szCs w:val="21"/>
              </w:rPr>
              <w:t>Gifts</w:t>
            </w:r>
            <w:bookmarkEnd w:id="46"/>
          </w:p>
        </w:tc>
        <w:tc>
          <w:tcPr>
            <w:tcW w:w="3664" w:type="pct"/>
          </w:tcPr>
          <w:p w14:paraId="520AAB08" w14:textId="7A1C9D74" w:rsidR="000016AE" w:rsidRPr="00EC0B05" w:rsidRDefault="000016AE" w:rsidP="007F09F9">
            <w:pPr>
              <w:pStyle w:val="BodyText"/>
              <w:kinsoku w:val="0"/>
              <w:overflowPunct w:val="0"/>
              <w:spacing w:before="110"/>
              <w:ind w:right="84"/>
              <w:rPr>
                <w:rFonts w:asciiTheme="minorHAnsi" w:eastAsiaTheme="minorHAnsi" w:hAnsiTheme="minorHAnsi" w:cstheme="minorBidi"/>
              </w:rPr>
            </w:pPr>
            <w:r w:rsidRPr="00EC0B05">
              <w:rPr>
                <w:rFonts w:asciiTheme="minorHAnsi" w:eastAsiaTheme="minorHAnsi" w:hAnsiTheme="minorHAnsi" w:cstheme="minorBidi"/>
              </w:rPr>
              <w:t>A borrower of a mortgage loan secured by a principal residence</w:t>
            </w:r>
            <w:r w:rsidR="004164F8">
              <w:rPr>
                <w:rFonts w:asciiTheme="minorHAnsi" w:eastAsiaTheme="minorHAnsi" w:hAnsiTheme="minorHAnsi" w:cstheme="minorBidi"/>
              </w:rPr>
              <w:t xml:space="preserve">, </w:t>
            </w:r>
            <w:r w:rsidRPr="00EC0B05">
              <w:rPr>
                <w:rFonts w:asciiTheme="minorHAnsi" w:eastAsiaTheme="minorHAnsi" w:hAnsiTheme="minorHAnsi" w:cstheme="minorBidi"/>
              </w:rPr>
              <w:t>second home</w:t>
            </w:r>
            <w:r w:rsidR="004164F8">
              <w:rPr>
                <w:rFonts w:asciiTheme="minorHAnsi" w:eastAsiaTheme="minorHAnsi" w:hAnsiTheme="minorHAnsi" w:cstheme="minorBidi"/>
              </w:rPr>
              <w:t>, or investment property</w:t>
            </w:r>
            <w:r w:rsidRPr="00EC0B05">
              <w:rPr>
                <w:rFonts w:asciiTheme="minorHAnsi" w:eastAsiaTheme="minorHAnsi" w:hAnsiTheme="minorHAnsi" w:cstheme="minorBidi"/>
              </w:rPr>
              <w:t xml:space="preserve"> may utilize funds received as a personal gift from an acceptable donor. Gift funds may fund all or part of the down payment, closing costs, or financial reserves subject to the minimum borrower contribution requirements below:</w:t>
            </w:r>
          </w:p>
          <w:p w14:paraId="7E503A5A" w14:textId="77777777" w:rsidR="000016AE" w:rsidRPr="00EC0B05" w:rsidRDefault="000016AE" w:rsidP="00471F7C">
            <w:pPr>
              <w:pStyle w:val="BodyText"/>
              <w:kinsoku w:val="0"/>
              <w:overflowPunct w:val="0"/>
              <w:spacing w:before="5"/>
              <w:rPr>
                <w:rFonts w:asciiTheme="minorHAnsi" w:hAnsiTheme="minorHAnsi"/>
              </w:rPr>
            </w:pPr>
          </w:p>
          <w:p w14:paraId="66DB96D7" w14:textId="77777777" w:rsidR="000016AE" w:rsidRPr="00EC0B05" w:rsidRDefault="000016AE">
            <w:pPr>
              <w:rPr>
                <w:sz w:val="21"/>
                <w:szCs w:val="21"/>
              </w:rPr>
            </w:pPr>
            <w:r w:rsidRPr="00EC0B05">
              <w:rPr>
                <w:b/>
                <w:sz w:val="21"/>
                <w:szCs w:val="21"/>
              </w:rPr>
              <w:t>Acceptable Donors:</w:t>
            </w:r>
            <w:r w:rsidRPr="00EC0B05">
              <w:rPr>
                <w:sz w:val="21"/>
                <w:szCs w:val="21"/>
              </w:rPr>
              <w:t xml:space="preserve"> </w:t>
            </w:r>
          </w:p>
          <w:p w14:paraId="11369199" w14:textId="77777777" w:rsidR="000016AE" w:rsidRPr="00EC0B05" w:rsidRDefault="000016AE">
            <w:pPr>
              <w:pStyle w:val="BodyText"/>
              <w:kinsoku w:val="0"/>
              <w:overflowPunct w:val="0"/>
              <w:ind w:left="153"/>
              <w:rPr>
                <w:rFonts w:asciiTheme="minorHAnsi" w:eastAsiaTheme="minorHAnsi" w:hAnsiTheme="minorHAnsi" w:cstheme="minorBidi"/>
              </w:rPr>
            </w:pPr>
            <w:r w:rsidRPr="00EC0B05">
              <w:rPr>
                <w:rFonts w:asciiTheme="minorHAnsi" w:eastAsiaTheme="minorHAnsi" w:hAnsiTheme="minorHAnsi" w:cstheme="minorBidi"/>
              </w:rPr>
              <w:t>A gift can be provided by:</w:t>
            </w:r>
          </w:p>
          <w:p w14:paraId="757C45BD" w14:textId="7C86423D" w:rsidR="000016AE" w:rsidRPr="00EC0B05" w:rsidRDefault="00A34A71" w:rsidP="00471F7C">
            <w:pPr>
              <w:pStyle w:val="ListParagraph"/>
              <w:widowControl w:val="0"/>
              <w:numPr>
                <w:ilvl w:val="0"/>
                <w:numId w:val="3"/>
              </w:numPr>
              <w:tabs>
                <w:tab w:val="left" w:pos="866"/>
              </w:tabs>
              <w:kinsoku w:val="0"/>
              <w:overflowPunct w:val="0"/>
              <w:autoSpaceDE w:val="0"/>
              <w:autoSpaceDN w:val="0"/>
              <w:adjustRightInd w:val="0"/>
              <w:ind w:right="225"/>
              <w:contextualSpacing w:val="0"/>
              <w:rPr>
                <w:sz w:val="21"/>
                <w:szCs w:val="21"/>
              </w:rPr>
            </w:pPr>
            <w:r>
              <w:rPr>
                <w:sz w:val="21"/>
                <w:szCs w:val="21"/>
              </w:rPr>
              <w:t>A</w:t>
            </w:r>
            <w:r w:rsidR="000016AE" w:rsidRPr="00EC0B05">
              <w:rPr>
                <w:sz w:val="21"/>
                <w:szCs w:val="21"/>
              </w:rPr>
              <w:t xml:space="preserve"> relative, defined as the borrower's spouse, child, or other dependent or </w:t>
            </w:r>
            <w:r w:rsidR="002C0DA4">
              <w:rPr>
                <w:sz w:val="21"/>
                <w:szCs w:val="21"/>
              </w:rPr>
              <w:t xml:space="preserve">by any other individual who is </w:t>
            </w:r>
            <w:r w:rsidR="000016AE" w:rsidRPr="00EC0B05">
              <w:rPr>
                <w:sz w:val="21"/>
                <w:szCs w:val="21"/>
              </w:rPr>
              <w:t xml:space="preserve">related to </w:t>
            </w:r>
            <w:r w:rsidR="002C0DA4">
              <w:rPr>
                <w:sz w:val="21"/>
                <w:szCs w:val="21"/>
              </w:rPr>
              <w:t>the borrower by blood, marriage</w:t>
            </w:r>
            <w:r w:rsidR="000016AE" w:rsidRPr="00EC0B05">
              <w:rPr>
                <w:sz w:val="21"/>
                <w:szCs w:val="21"/>
              </w:rPr>
              <w:t>, adoption, or legal guardianship</w:t>
            </w:r>
          </w:p>
          <w:p w14:paraId="3B8C557A" w14:textId="77777777" w:rsidR="000016AE" w:rsidRPr="00EC0B05" w:rsidRDefault="000016AE" w:rsidP="00471F7C">
            <w:pPr>
              <w:pStyle w:val="ListParagraph"/>
              <w:widowControl w:val="0"/>
              <w:numPr>
                <w:ilvl w:val="0"/>
                <w:numId w:val="3"/>
              </w:numPr>
              <w:tabs>
                <w:tab w:val="left" w:pos="866"/>
              </w:tabs>
              <w:kinsoku w:val="0"/>
              <w:overflowPunct w:val="0"/>
              <w:autoSpaceDE w:val="0"/>
              <w:autoSpaceDN w:val="0"/>
              <w:adjustRightInd w:val="0"/>
              <w:spacing w:before="23"/>
              <w:contextualSpacing w:val="0"/>
              <w:rPr>
                <w:sz w:val="21"/>
                <w:szCs w:val="21"/>
              </w:rPr>
            </w:pPr>
            <w:r w:rsidRPr="00EC0B05">
              <w:rPr>
                <w:sz w:val="21"/>
                <w:szCs w:val="21"/>
              </w:rPr>
              <w:t>A fiancé, fiancée, or domestic partner.</w:t>
            </w:r>
          </w:p>
          <w:p w14:paraId="11B7FFDE" w14:textId="77777777" w:rsidR="00A32388" w:rsidRPr="00A34A71" w:rsidRDefault="000016AE" w:rsidP="00471F7C">
            <w:pPr>
              <w:pStyle w:val="ListParagraph"/>
              <w:numPr>
                <w:ilvl w:val="0"/>
                <w:numId w:val="3"/>
              </w:numPr>
              <w:rPr>
                <w:sz w:val="21"/>
                <w:szCs w:val="21"/>
              </w:rPr>
            </w:pPr>
            <w:r w:rsidRPr="00EC0B05">
              <w:rPr>
                <w:sz w:val="21"/>
                <w:szCs w:val="21"/>
              </w:rPr>
              <w:t>Entities including churches, municipalities, nonprofit organizations (excluding credit unions), a regional Federal Home Loan Bank under one of its affordable le housing programs, and public agencies.</w:t>
            </w:r>
            <w:r w:rsidR="00A32388" w:rsidRPr="00EC0B05">
              <w:rPr>
                <w:sz w:val="21"/>
                <w:szCs w:val="21"/>
              </w:rPr>
              <w:t xml:space="preserve">  Gift funds may be received from well-known NGOs such as The Red Cross, IFRC (Red Crescent), United Nations Refugee Agency, International Rescue Committee, or other recognized refugee programs with verification of the donation. </w:t>
            </w:r>
          </w:p>
          <w:p w14:paraId="71B6C9CE" w14:textId="77777777" w:rsidR="003074B2" w:rsidRDefault="003074B2" w:rsidP="003074B2">
            <w:pPr>
              <w:pStyle w:val="BodyText"/>
              <w:kinsoku w:val="0"/>
              <w:overflowPunct w:val="0"/>
              <w:ind w:right="84"/>
              <w:rPr>
                <w:rFonts w:asciiTheme="minorHAnsi" w:eastAsiaTheme="minorHAnsi" w:hAnsiTheme="minorHAnsi" w:cstheme="minorBidi"/>
              </w:rPr>
            </w:pPr>
          </w:p>
          <w:p w14:paraId="5ADF9341" w14:textId="0C68D2F5" w:rsidR="000016AE" w:rsidRPr="00EC0B05" w:rsidRDefault="003074B2" w:rsidP="003074B2">
            <w:pPr>
              <w:pStyle w:val="BodyText"/>
              <w:kinsoku w:val="0"/>
              <w:overflowPunct w:val="0"/>
              <w:ind w:left="154" w:right="84"/>
              <w:rPr>
                <w:rFonts w:asciiTheme="minorHAnsi" w:eastAsiaTheme="minorHAnsi" w:hAnsiTheme="minorHAnsi" w:cstheme="minorBidi"/>
              </w:rPr>
            </w:pPr>
            <w:r>
              <w:rPr>
                <w:rFonts w:asciiTheme="minorHAnsi" w:eastAsiaTheme="minorHAnsi" w:hAnsiTheme="minorHAnsi" w:cstheme="minorBidi"/>
              </w:rPr>
              <w:t xml:space="preserve">NOTE: </w:t>
            </w:r>
            <w:r w:rsidR="000016AE" w:rsidRPr="00EC0B05">
              <w:rPr>
                <w:rFonts w:asciiTheme="minorHAnsi" w:eastAsiaTheme="minorHAnsi" w:hAnsiTheme="minorHAnsi" w:cstheme="minorBidi"/>
              </w:rPr>
              <w:t xml:space="preserve">The donor may not be, or have any affiliation with, the builder, the developer, the real estate agent, or any other interested party to the transaction. </w:t>
            </w:r>
          </w:p>
          <w:p w14:paraId="4E2119E0" w14:textId="77777777" w:rsidR="000016AE" w:rsidRPr="00EC0B05" w:rsidRDefault="000016AE" w:rsidP="00471F7C">
            <w:pPr>
              <w:pStyle w:val="BodyText"/>
              <w:kinsoku w:val="0"/>
              <w:overflowPunct w:val="0"/>
              <w:ind w:right="84"/>
              <w:rPr>
                <w:rFonts w:asciiTheme="minorHAnsi" w:hAnsiTheme="minorHAnsi"/>
                <w:w w:val="110"/>
              </w:rPr>
            </w:pPr>
          </w:p>
          <w:p w14:paraId="66EA8A7A" w14:textId="77777777" w:rsidR="000016AE" w:rsidRPr="00EC0B05" w:rsidRDefault="000016AE" w:rsidP="00471F7C">
            <w:pPr>
              <w:pStyle w:val="BodyText"/>
              <w:kinsoku w:val="0"/>
              <w:overflowPunct w:val="0"/>
              <w:ind w:left="-18" w:right="84" w:hanging="8"/>
              <w:rPr>
                <w:rFonts w:asciiTheme="minorHAnsi" w:hAnsiTheme="minorHAnsi"/>
                <w:w w:val="110"/>
              </w:rPr>
            </w:pPr>
            <w:r w:rsidRPr="00EC0B05">
              <w:rPr>
                <w:rFonts w:asciiTheme="minorHAnsi" w:eastAsiaTheme="minorHAnsi" w:hAnsiTheme="minorHAnsi" w:cstheme="minorBidi"/>
                <w:b/>
              </w:rPr>
              <w:t>Documentation Requirements:</w:t>
            </w:r>
          </w:p>
          <w:p w14:paraId="4ECF5DEF" w14:textId="77777777" w:rsidR="000016AE" w:rsidRPr="00EC0B05" w:rsidRDefault="000016AE" w:rsidP="00471F7C">
            <w:pPr>
              <w:pStyle w:val="BodyText"/>
              <w:kinsoku w:val="0"/>
              <w:overflowPunct w:val="0"/>
              <w:ind w:left="138" w:right="84"/>
              <w:rPr>
                <w:rFonts w:asciiTheme="minorHAnsi" w:eastAsiaTheme="minorHAnsi" w:hAnsiTheme="minorHAnsi" w:cstheme="minorBidi"/>
              </w:rPr>
            </w:pPr>
            <w:r w:rsidRPr="00EC0B05">
              <w:rPr>
                <w:rFonts w:asciiTheme="minorHAnsi" w:eastAsiaTheme="minorHAnsi" w:hAnsiTheme="minorHAnsi" w:cstheme="minorBidi"/>
              </w:rPr>
              <w:t xml:space="preserve">Gifts should be evidenced by a letter signed by the donor, called </w:t>
            </w:r>
            <w:r w:rsidR="00331081">
              <w:rPr>
                <w:rFonts w:asciiTheme="minorHAnsi" w:eastAsiaTheme="minorHAnsi" w:hAnsiTheme="minorHAnsi" w:cstheme="minorBidi"/>
              </w:rPr>
              <w:t xml:space="preserve">a gift letter. The gift </w:t>
            </w:r>
            <w:r w:rsidR="00331081">
              <w:rPr>
                <w:rFonts w:asciiTheme="minorHAnsi" w:eastAsiaTheme="minorHAnsi" w:hAnsiTheme="minorHAnsi" w:cstheme="minorBidi"/>
              </w:rPr>
              <w:lastRenderedPageBreak/>
              <w:t xml:space="preserve">letter </w:t>
            </w:r>
            <w:r w:rsidRPr="00EC0B05">
              <w:rPr>
                <w:rFonts w:asciiTheme="minorHAnsi" w:eastAsiaTheme="minorHAnsi" w:hAnsiTheme="minorHAnsi" w:cstheme="minorBidi"/>
              </w:rPr>
              <w:t>should:</w:t>
            </w:r>
          </w:p>
          <w:p w14:paraId="04537E15" w14:textId="77777777" w:rsidR="000016AE" w:rsidRPr="00EC0B05" w:rsidRDefault="00F166CB" w:rsidP="00A8756A">
            <w:pPr>
              <w:pStyle w:val="ListParagraph"/>
              <w:widowControl w:val="0"/>
              <w:numPr>
                <w:ilvl w:val="1"/>
                <w:numId w:val="48"/>
              </w:numPr>
              <w:tabs>
                <w:tab w:val="left" w:pos="3734"/>
              </w:tabs>
              <w:kinsoku w:val="0"/>
              <w:overflowPunct w:val="0"/>
              <w:autoSpaceDE w:val="0"/>
              <w:autoSpaceDN w:val="0"/>
              <w:adjustRightInd w:val="0"/>
              <w:spacing w:before="93"/>
              <w:ind w:left="702"/>
              <w:contextualSpacing w:val="0"/>
              <w:rPr>
                <w:sz w:val="21"/>
                <w:szCs w:val="21"/>
              </w:rPr>
            </w:pPr>
            <w:r>
              <w:rPr>
                <w:sz w:val="21"/>
                <w:szCs w:val="21"/>
              </w:rPr>
              <w:t>S</w:t>
            </w:r>
            <w:r w:rsidR="000016AE" w:rsidRPr="00EC0B05">
              <w:rPr>
                <w:sz w:val="21"/>
                <w:szCs w:val="21"/>
              </w:rPr>
              <w:t>pecify the dollar amount of the gift;</w:t>
            </w:r>
          </w:p>
          <w:p w14:paraId="1218A075" w14:textId="77777777" w:rsidR="000016AE" w:rsidRPr="00EC0B05" w:rsidRDefault="00F166CB" w:rsidP="00A8756A">
            <w:pPr>
              <w:pStyle w:val="ListParagraph"/>
              <w:widowControl w:val="0"/>
              <w:numPr>
                <w:ilvl w:val="1"/>
                <w:numId w:val="48"/>
              </w:numPr>
              <w:tabs>
                <w:tab w:val="left" w:pos="3734"/>
              </w:tabs>
              <w:kinsoku w:val="0"/>
              <w:overflowPunct w:val="0"/>
              <w:autoSpaceDE w:val="0"/>
              <w:autoSpaceDN w:val="0"/>
              <w:adjustRightInd w:val="0"/>
              <w:spacing w:before="36"/>
              <w:ind w:left="702"/>
              <w:contextualSpacing w:val="0"/>
              <w:rPr>
                <w:sz w:val="21"/>
                <w:szCs w:val="21"/>
              </w:rPr>
            </w:pPr>
            <w:r>
              <w:rPr>
                <w:sz w:val="21"/>
                <w:szCs w:val="21"/>
              </w:rPr>
              <w:t>S</w:t>
            </w:r>
            <w:r w:rsidR="000016AE" w:rsidRPr="00EC0B05">
              <w:rPr>
                <w:sz w:val="21"/>
                <w:szCs w:val="21"/>
              </w:rPr>
              <w:t>pecify the date the funds were transferred;</w:t>
            </w:r>
          </w:p>
          <w:p w14:paraId="55D05E27" w14:textId="77777777" w:rsidR="000016AE" w:rsidRPr="00EC0B05" w:rsidRDefault="00F166CB" w:rsidP="00A8756A">
            <w:pPr>
              <w:pStyle w:val="ListParagraph"/>
              <w:widowControl w:val="0"/>
              <w:numPr>
                <w:ilvl w:val="1"/>
                <w:numId w:val="48"/>
              </w:numPr>
              <w:tabs>
                <w:tab w:val="left" w:pos="3736"/>
              </w:tabs>
              <w:kinsoku w:val="0"/>
              <w:overflowPunct w:val="0"/>
              <w:autoSpaceDE w:val="0"/>
              <w:autoSpaceDN w:val="0"/>
              <w:adjustRightInd w:val="0"/>
              <w:spacing w:before="36"/>
              <w:ind w:left="702" w:right="714"/>
              <w:contextualSpacing w:val="0"/>
              <w:rPr>
                <w:sz w:val="21"/>
                <w:szCs w:val="21"/>
              </w:rPr>
            </w:pPr>
            <w:r>
              <w:rPr>
                <w:sz w:val="21"/>
                <w:szCs w:val="21"/>
              </w:rPr>
              <w:t>I</w:t>
            </w:r>
            <w:r w:rsidR="000016AE" w:rsidRPr="00EC0B05">
              <w:rPr>
                <w:sz w:val="21"/>
                <w:szCs w:val="21"/>
              </w:rPr>
              <w:t>nclude the donor's statement that no repayment is expected; and</w:t>
            </w:r>
          </w:p>
          <w:p w14:paraId="35B8DA1B" w14:textId="77777777" w:rsidR="000016AE" w:rsidRPr="00EC0B05" w:rsidRDefault="000016AE" w:rsidP="00A8756A">
            <w:pPr>
              <w:pStyle w:val="ListParagraph"/>
              <w:widowControl w:val="0"/>
              <w:numPr>
                <w:ilvl w:val="1"/>
                <w:numId w:val="48"/>
              </w:numPr>
              <w:tabs>
                <w:tab w:val="left" w:pos="3736"/>
              </w:tabs>
              <w:kinsoku w:val="0"/>
              <w:overflowPunct w:val="0"/>
              <w:autoSpaceDE w:val="0"/>
              <w:autoSpaceDN w:val="0"/>
              <w:adjustRightInd w:val="0"/>
              <w:ind w:left="702" w:right="340"/>
              <w:contextualSpacing w:val="0"/>
              <w:rPr>
                <w:sz w:val="21"/>
                <w:szCs w:val="21"/>
              </w:rPr>
            </w:pPr>
            <w:r w:rsidRPr="00EC0B05">
              <w:rPr>
                <w:sz w:val="21"/>
                <w:szCs w:val="21"/>
              </w:rPr>
              <w:t>Indicate the donor's name, address, telephone number, and relationship to the borrower.</w:t>
            </w:r>
          </w:p>
          <w:p w14:paraId="76B38BB7" w14:textId="77777777" w:rsidR="002C0C6F" w:rsidRDefault="002C0C6F" w:rsidP="00471F7C">
            <w:pPr>
              <w:pStyle w:val="BodyText"/>
              <w:kinsoku w:val="0"/>
              <w:overflowPunct w:val="0"/>
              <w:rPr>
                <w:rFonts w:asciiTheme="minorHAnsi" w:eastAsiaTheme="minorHAnsi" w:hAnsiTheme="minorHAnsi" w:cstheme="minorBidi"/>
              </w:rPr>
            </w:pPr>
          </w:p>
          <w:p w14:paraId="0F9412C8" w14:textId="77777777" w:rsidR="000016AE" w:rsidRPr="00EC0B05" w:rsidRDefault="000016AE">
            <w:pPr>
              <w:pStyle w:val="BodyText"/>
              <w:kinsoku w:val="0"/>
              <w:overflowPunct w:val="0"/>
              <w:rPr>
                <w:rFonts w:asciiTheme="minorHAnsi" w:eastAsiaTheme="minorHAnsi" w:hAnsiTheme="minorHAnsi" w:cstheme="minorBidi"/>
              </w:rPr>
            </w:pPr>
            <w:r w:rsidRPr="00EC0B05">
              <w:rPr>
                <w:rFonts w:asciiTheme="minorHAnsi" w:eastAsiaTheme="minorHAnsi" w:hAnsiTheme="minorHAnsi" w:cstheme="minorBidi"/>
              </w:rPr>
              <w:t>It should be verified that sufficient funds to cover the gift are either in the donor's account or have been transferred to the borrower's account. Acceptable documentation includes the following:</w:t>
            </w:r>
          </w:p>
          <w:p w14:paraId="3EA13562" w14:textId="77777777" w:rsidR="000016AE" w:rsidRPr="00EC0B05" w:rsidRDefault="00331081" w:rsidP="00471F7C">
            <w:pPr>
              <w:pStyle w:val="ListParagraph"/>
              <w:widowControl w:val="0"/>
              <w:numPr>
                <w:ilvl w:val="0"/>
                <w:numId w:val="7"/>
              </w:numPr>
              <w:tabs>
                <w:tab w:val="left" w:pos="3733"/>
              </w:tabs>
              <w:kinsoku w:val="0"/>
              <w:overflowPunct w:val="0"/>
              <w:autoSpaceDE w:val="0"/>
              <w:autoSpaceDN w:val="0"/>
              <w:adjustRightInd w:val="0"/>
              <w:ind w:right="379"/>
              <w:rPr>
                <w:sz w:val="21"/>
                <w:szCs w:val="21"/>
              </w:rPr>
            </w:pPr>
            <w:r>
              <w:rPr>
                <w:sz w:val="21"/>
                <w:szCs w:val="21"/>
              </w:rPr>
              <w:t>A</w:t>
            </w:r>
            <w:r w:rsidR="000016AE" w:rsidRPr="00EC0B05">
              <w:rPr>
                <w:sz w:val="21"/>
                <w:szCs w:val="21"/>
              </w:rPr>
              <w:t xml:space="preserve"> copy of the donor's check and the borrower's deposit slip;</w:t>
            </w:r>
          </w:p>
          <w:p w14:paraId="4989C951" w14:textId="77777777" w:rsidR="000016AE" w:rsidRPr="00EC0B05" w:rsidRDefault="00331081" w:rsidP="00471F7C">
            <w:pPr>
              <w:pStyle w:val="ListParagraph"/>
              <w:widowControl w:val="0"/>
              <w:numPr>
                <w:ilvl w:val="0"/>
                <w:numId w:val="7"/>
              </w:numPr>
              <w:tabs>
                <w:tab w:val="left" w:pos="3733"/>
              </w:tabs>
              <w:kinsoku w:val="0"/>
              <w:overflowPunct w:val="0"/>
              <w:autoSpaceDE w:val="0"/>
              <w:autoSpaceDN w:val="0"/>
              <w:adjustRightInd w:val="0"/>
              <w:spacing w:before="1"/>
              <w:ind w:right="241"/>
              <w:rPr>
                <w:sz w:val="21"/>
                <w:szCs w:val="21"/>
              </w:rPr>
            </w:pPr>
            <w:r>
              <w:rPr>
                <w:sz w:val="21"/>
                <w:szCs w:val="21"/>
              </w:rPr>
              <w:t>A</w:t>
            </w:r>
            <w:r w:rsidR="000016AE" w:rsidRPr="00EC0B05">
              <w:rPr>
                <w:sz w:val="21"/>
                <w:szCs w:val="21"/>
              </w:rPr>
              <w:t xml:space="preserve"> copy of the donor's withdrawal slip and the borrower's deposit slip;</w:t>
            </w:r>
          </w:p>
          <w:p w14:paraId="45FD04AA" w14:textId="77777777" w:rsidR="000016AE" w:rsidRPr="00EC0B05" w:rsidRDefault="00331081" w:rsidP="00471F7C">
            <w:pPr>
              <w:pStyle w:val="ListParagraph"/>
              <w:widowControl w:val="0"/>
              <w:numPr>
                <w:ilvl w:val="0"/>
                <w:numId w:val="7"/>
              </w:numPr>
              <w:tabs>
                <w:tab w:val="left" w:pos="3733"/>
              </w:tabs>
              <w:kinsoku w:val="0"/>
              <w:overflowPunct w:val="0"/>
              <w:autoSpaceDE w:val="0"/>
              <w:autoSpaceDN w:val="0"/>
              <w:adjustRightInd w:val="0"/>
              <w:rPr>
                <w:sz w:val="21"/>
                <w:szCs w:val="21"/>
              </w:rPr>
            </w:pPr>
            <w:r>
              <w:rPr>
                <w:sz w:val="21"/>
                <w:szCs w:val="21"/>
              </w:rPr>
              <w:t>A</w:t>
            </w:r>
            <w:r w:rsidR="000016AE" w:rsidRPr="00EC0B05">
              <w:rPr>
                <w:sz w:val="21"/>
                <w:szCs w:val="21"/>
              </w:rPr>
              <w:t xml:space="preserve"> copy of the donor's check to the closing agent; or</w:t>
            </w:r>
          </w:p>
          <w:p w14:paraId="16A8B83D" w14:textId="77777777" w:rsidR="000016AE" w:rsidRPr="00EC0B05" w:rsidRDefault="00331081" w:rsidP="00471F7C">
            <w:pPr>
              <w:pStyle w:val="ListParagraph"/>
              <w:numPr>
                <w:ilvl w:val="0"/>
                <w:numId w:val="3"/>
              </w:numPr>
              <w:rPr>
                <w:sz w:val="21"/>
                <w:szCs w:val="21"/>
              </w:rPr>
            </w:pPr>
            <w:r>
              <w:rPr>
                <w:sz w:val="21"/>
                <w:szCs w:val="21"/>
              </w:rPr>
              <w:t>A</w:t>
            </w:r>
            <w:r w:rsidR="000016AE" w:rsidRPr="00EC0B05">
              <w:rPr>
                <w:sz w:val="21"/>
                <w:szCs w:val="21"/>
              </w:rPr>
              <w:t xml:space="preserve"> settlement statement showing receipt of the donor's check</w:t>
            </w:r>
          </w:p>
          <w:p w14:paraId="61B0C4C4" w14:textId="77777777" w:rsidR="000016AE" w:rsidRPr="00EC0B05" w:rsidRDefault="000016AE" w:rsidP="00471F7C">
            <w:pPr>
              <w:pStyle w:val="ListParagraph"/>
              <w:numPr>
                <w:ilvl w:val="0"/>
                <w:numId w:val="3"/>
              </w:numPr>
              <w:rPr>
                <w:sz w:val="21"/>
                <w:szCs w:val="21"/>
              </w:rPr>
            </w:pPr>
            <w:r w:rsidRPr="00EC0B05">
              <w:rPr>
                <w:sz w:val="21"/>
                <w:szCs w:val="21"/>
              </w:rPr>
              <w:t xml:space="preserve">On Non-Resident Alien (“NRA”) loans a copy of the donor’s depository account statement must be provided and reviewed by </w:t>
            </w:r>
            <w:r w:rsidR="00AB4409" w:rsidRPr="00EC0B05">
              <w:rPr>
                <w:sz w:val="21"/>
                <w:szCs w:val="21"/>
              </w:rPr>
              <w:t>Compliance</w:t>
            </w:r>
            <w:r w:rsidRPr="00EC0B05">
              <w:rPr>
                <w:sz w:val="21"/>
                <w:szCs w:val="21"/>
              </w:rPr>
              <w:t>.</w:t>
            </w:r>
          </w:p>
          <w:p w14:paraId="55796D6A" w14:textId="77777777" w:rsidR="000016AE" w:rsidRPr="00EC0B05" w:rsidRDefault="000016AE" w:rsidP="00471F7C">
            <w:pPr>
              <w:pStyle w:val="BodyText"/>
              <w:kinsoku w:val="0"/>
              <w:overflowPunct w:val="0"/>
              <w:spacing w:before="120"/>
              <w:ind w:right="39"/>
              <w:rPr>
                <w:rFonts w:asciiTheme="minorHAnsi" w:hAnsiTheme="minorHAnsi"/>
              </w:rPr>
            </w:pPr>
            <w:r w:rsidRPr="00EC0B05">
              <w:rPr>
                <w:rFonts w:asciiTheme="minorHAnsi" w:eastAsiaTheme="minorHAnsi" w:hAnsiTheme="minorHAnsi" w:cstheme="minorBidi"/>
              </w:rPr>
              <w:t>When the funds are not transferred prior to settlement, it should be documented that the donor gave the closing agent the gift funds in the form of a certified check, a cashier's check, or other official check.</w:t>
            </w:r>
          </w:p>
        </w:tc>
      </w:tr>
      <w:tr w:rsidR="00EC0B05" w:rsidRPr="00EC0B05" w14:paraId="71EB42DA" w14:textId="77777777" w:rsidTr="0063752F">
        <w:tc>
          <w:tcPr>
            <w:tcW w:w="1336" w:type="pct"/>
          </w:tcPr>
          <w:p w14:paraId="51415AF7" w14:textId="77777777" w:rsidR="000016AE" w:rsidRPr="00EC0B05" w:rsidRDefault="000016AE" w:rsidP="00471F7C">
            <w:pPr>
              <w:rPr>
                <w:b/>
                <w:w w:val="110"/>
                <w:sz w:val="21"/>
                <w:szCs w:val="21"/>
              </w:rPr>
            </w:pPr>
            <w:bookmarkStart w:id="47" w:name="hazard_ins"/>
            <w:r w:rsidRPr="00EC0B05">
              <w:rPr>
                <w:b/>
                <w:w w:val="110"/>
                <w:sz w:val="21"/>
                <w:szCs w:val="21"/>
              </w:rPr>
              <w:lastRenderedPageBreak/>
              <w:t>Hazard Insurance</w:t>
            </w:r>
            <w:bookmarkEnd w:id="47"/>
          </w:p>
        </w:tc>
        <w:tc>
          <w:tcPr>
            <w:tcW w:w="3664" w:type="pct"/>
          </w:tcPr>
          <w:p w14:paraId="534B85D4" w14:textId="77777777" w:rsidR="000016AE" w:rsidRPr="00EC0B05" w:rsidRDefault="000016AE" w:rsidP="00471F7C">
            <w:pPr>
              <w:autoSpaceDE w:val="0"/>
              <w:autoSpaceDN w:val="0"/>
              <w:adjustRightInd w:val="0"/>
              <w:contextualSpacing/>
              <w:rPr>
                <w:w w:val="110"/>
                <w:sz w:val="20"/>
                <w:szCs w:val="20"/>
              </w:rPr>
            </w:pPr>
            <w:r w:rsidRPr="00EC0B05">
              <w:rPr>
                <w:w w:val="110"/>
                <w:sz w:val="20"/>
                <w:szCs w:val="20"/>
              </w:rPr>
              <w:t>Hazard insurance (if applicable) will be required.  Borrowers who are not establishing an escrow account for hazard insurance, that have a monthly direct payment plan for their hazard insurance, do not have to prepay the current year of hazard insurance at closing as long as supporting documentation is obtained to show that the monthly direct payment plan is current.</w:t>
            </w:r>
          </w:p>
          <w:p w14:paraId="1359F687" w14:textId="77777777" w:rsidR="00F61526" w:rsidRPr="00EC0B05" w:rsidRDefault="00F61526" w:rsidP="00471F7C">
            <w:pPr>
              <w:autoSpaceDE w:val="0"/>
              <w:autoSpaceDN w:val="0"/>
              <w:adjustRightInd w:val="0"/>
              <w:contextualSpacing/>
              <w:rPr>
                <w:w w:val="110"/>
                <w:sz w:val="20"/>
                <w:szCs w:val="20"/>
              </w:rPr>
            </w:pPr>
          </w:p>
          <w:p w14:paraId="7D534AB8" w14:textId="77777777" w:rsidR="00C44485" w:rsidRPr="00EC0B05" w:rsidRDefault="00F61526" w:rsidP="00471F7C">
            <w:pPr>
              <w:autoSpaceDE w:val="0"/>
              <w:autoSpaceDN w:val="0"/>
              <w:adjustRightInd w:val="0"/>
              <w:contextualSpacing/>
              <w:rPr>
                <w:b/>
                <w:w w:val="110"/>
                <w:sz w:val="21"/>
                <w:szCs w:val="21"/>
                <w:u w:val="single"/>
              </w:rPr>
            </w:pPr>
            <w:r w:rsidRPr="00EC0B05">
              <w:rPr>
                <w:b/>
                <w:w w:val="110"/>
                <w:sz w:val="21"/>
                <w:szCs w:val="21"/>
                <w:u w:val="single"/>
              </w:rPr>
              <w:t xml:space="preserve">Hazard Insurance </w:t>
            </w:r>
            <w:r w:rsidR="00C767F9" w:rsidRPr="00EC0B05">
              <w:rPr>
                <w:b/>
                <w:w w:val="110"/>
                <w:sz w:val="21"/>
                <w:szCs w:val="21"/>
                <w:u w:val="single"/>
              </w:rPr>
              <w:t xml:space="preserve">(HO3) coverage: </w:t>
            </w:r>
          </w:p>
          <w:p w14:paraId="4ED7F4B0" w14:textId="5540F79F" w:rsidR="007F7440" w:rsidRPr="00F02096" w:rsidRDefault="007F7440" w:rsidP="007F7440">
            <w:pPr>
              <w:pStyle w:val="ListParagraph"/>
              <w:numPr>
                <w:ilvl w:val="0"/>
                <w:numId w:val="78"/>
              </w:numPr>
              <w:rPr>
                <w:color w:val="000000" w:themeColor="text1"/>
                <w:sz w:val="20"/>
                <w:szCs w:val="20"/>
              </w:rPr>
            </w:pPr>
            <w:r w:rsidRPr="00F02096">
              <w:rPr>
                <w:w w:val="110"/>
                <w:sz w:val="20"/>
                <w:szCs w:val="20"/>
              </w:rPr>
              <w:t xml:space="preserve">Declaration page with coverage, premium amount, agent, phone, loan # and mortgagee clause to read: </w:t>
            </w:r>
            <w:r w:rsidR="002D1DA1">
              <w:rPr>
                <w:w w:val="110"/>
                <w:sz w:val="20"/>
                <w:szCs w:val="20"/>
              </w:rPr>
              <w:t>Axos Bank</w:t>
            </w:r>
            <w:r w:rsidRPr="00F02096">
              <w:rPr>
                <w:w w:val="110"/>
                <w:sz w:val="20"/>
                <w:szCs w:val="20"/>
              </w:rPr>
              <w:t xml:space="preserve">, Its Successors and/or Assigns, </w:t>
            </w:r>
            <w:r w:rsidRPr="00F02096">
              <w:rPr>
                <w:color w:val="000000" w:themeColor="text1"/>
                <w:sz w:val="20"/>
                <w:szCs w:val="20"/>
              </w:rPr>
              <w:t>P O Box 401420, Las Vegas, NV 89140</w:t>
            </w:r>
          </w:p>
          <w:p w14:paraId="4DD2DE73" w14:textId="77777777" w:rsidR="007F7440" w:rsidRPr="00BB2319" w:rsidRDefault="007F7440" w:rsidP="007F7440">
            <w:pPr>
              <w:pStyle w:val="ListParagraph"/>
              <w:numPr>
                <w:ilvl w:val="0"/>
                <w:numId w:val="41"/>
              </w:numPr>
              <w:spacing w:line="276" w:lineRule="auto"/>
              <w:ind w:left="792"/>
              <w:rPr>
                <w:w w:val="110"/>
                <w:sz w:val="21"/>
                <w:szCs w:val="21"/>
              </w:rPr>
            </w:pPr>
            <w:r w:rsidRPr="00BB2319">
              <w:rPr>
                <w:sz w:val="21"/>
                <w:szCs w:val="21"/>
              </w:rPr>
              <w:t xml:space="preserve">Dwelling coverage must cover the lesser of loan amount or estimated cost new from the appraisal.  </w:t>
            </w:r>
          </w:p>
          <w:p w14:paraId="2DACCBCD" w14:textId="77777777" w:rsidR="007F7440" w:rsidRPr="00BB2319" w:rsidRDefault="007F7440" w:rsidP="007F7440">
            <w:pPr>
              <w:pStyle w:val="ListParagraph"/>
              <w:numPr>
                <w:ilvl w:val="0"/>
                <w:numId w:val="41"/>
              </w:numPr>
              <w:spacing w:line="276" w:lineRule="auto"/>
              <w:ind w:left="792"/>
              <w:rPr>
                <w:w w:val="110"/>
                <w:sz w:val="21"/>
                <w:szCs w:val="21"/>
              </w:rPr>
            </w:pPr>
            <w:r w:rsidRPr="00BB2319">
              <w:rPr>
                <w:sz w:val="21"/>
                <w:szCs w:val="21"/>
              </w:rPr>
              <w:t>Replacement cost estimator from insurance agent on an exception basis</w:t>
            </w:r>
          </w:p>
          <w:p w14:paraId="59135222" w14:textId="77777777" w:rsidR="007F7440" w:rsidRDefault="007F7440" w:rsidP="007F7440">
            <w:pPr>
              <w:pStyle w:val="ListParagraph"/>
              <w:numPr>
                <w:ilvl w:val="0"/>
                <w:numId w:val="41"/>
              </w:numPr>
              <w:spacing w:line="276" w:lineRule="auto"/>
              <w:ind w:left="792"/>
              <w:rPr>
                <w:w w:val="110"/>
                <w:sz w:val="21"/>
                <w:szCs w:val="21"/>
              </w:rPr>
            </w:pPr>
            <w:r>
              <w:rPr>
                <w:w w:val="110"/>
                <w:sz w:val="21"/>
                <w:szCs w:val="21"/>
              </w:rPr>
              <w:t>Loan amount &lt;$1,000,000 - max d</w:t>
            </w:r>
            <w:r w:rsidRPr="00BB2319">
              <w:rPr>
                <w:w w:val="110"/>
                <w:sz w:val="21"/>
                <w:szCs w:val="21"/>
              </w:rPr>
              <w:t xml:space="preserve">eductible cannot be more than 1% of policy face amount or $5,000, whichever is the lesser. </w:t>
            </w:r>
          </w:p>
          <w:p w14:paraId="5542DA50" w14:textId="77777777" w:rsidR="007F7440" w:rsidRDefault="007F7440" w:rsidP="007F7440">
            <w:pPr>
              <w:pStyle w:val="ListParagraph"/>
              <w:numPr>
                <w:ilvl w:val="0"/>
                <w:numId w:val="41"/>
              </w:numPr>
              <w:spacing w:line="276" w:lineRule="auto"/>
              <w:ind w:left="792"/>
              <w:rPr>
                <w:w w:val="110"/>
                <w:sz w:val="21"/>
                <w:szCs w:val="21"/>
              </w:rPr>
            </w:pPr>
            <w:r>
              <w:rPr>
                <w:w w:val="110"/>
                <w:sz w:val="21"/>
                <w:szCs w:val="21"/>
              </w:rPr>
              <w:t>Loan amount &gt; or equal to $1,000,000 - max d</w:t>
            </w:r>
            <w:r w:rsidRPr="00BB2319">
              <w:rPr>
                <w:w w:val="110"/>
                <w:sz w:val="21"/>
                <w:szCs w:val="21"/>
              </w:rPr>
              <w:t xml:space="preserve">eductible </w:t>
            </w:r>
            <w:r>
              <w:rPr>
                <w:w w:val="110"/>
                <w:sz w:val="21"/>
                <w:szCs w:val="21"/>
              </w:rPr>
              <w:t>is</w:t>
            </w:r>
            <w:r w:rsidRPr="00BB2319">
              <w:rPr>
                <w:w w:val="110"/>
                <w:sz w:val="21"/>
                <w:szCs w:val="21"/>
              </w:rPr>
              <w:t xml:space="preserve"> $</w:t>
            </w:r>
            <w:r>
              <w:rPr>
                <w:w w:val="110"/>
                <w:sz w:val="21"/>
                <w:szCs w:val="21"/>
              </w:rPr>
              <w:t>10,000</w:t>
            </w:r>
          </w:p>
          <w:p w14:paraId="00BE017D" w14:textId="77777777" w:rsidR="007F7440" w:rsidRPr="00BB2319" w:rsidRDefault="007F7440" w:rsidP="007F7440">
            <w:pPr>
              <w:pStyle w:val="ListParagraph"/>
              <w:numPr>
                <w:ilvl w:val="0"/>
                <w:numId w:val="41"/>
              </w:numPr>
              <w:spacing w:line="276" w:lineRule="auto"/>
              <w:ind w:left="792"/>
              <w:rPr>
                <w:w w:val="110"/>
                <w:sz w:val="21"/>
                <w:szCs w:val="21"/>
              </w:rPr>
            </w:pPr>
            <w:r w:rsidRPr="00BB2319">
              <w:rPr>
                <w:w w:val="110"/>
                <w:sz w:val="21"/>
                <w:szCs w:val="21"/>
              </w:rPr>
              <w:t>Must include current balance owed for refinance transactions.</w:t>
            </w:r>
          </w:p>
          <w:p w14:paraId="144BC465" w14:textId="346776E6" w:rsidR="007F7440" w:rsidRPr="00BB2319" w:rsidRDefault="007F7440" w:rsidP="007F7440">
            <w:pPr>
              <w:pStyle w:val="ListParagraph"/>
              <w:numPr>
                <w:ilvl w:val="0"/>
                <w:numId w:val="41"/>
              </w:numPr>
              <w:spacing w:line="276" w:lineRule="auto"/>
              <w:ind w:left="792"/>
              <w:rPr>
                <w:sz w:val="21"/>
                <w:szCs w:val="21"/>
              </w:rPr>
            </w:pPr>
            <w:r w:rsidRPr="00BB2319">
              <w:rPr>
                <w:sz w:val="21"/>
                <w:szCs w:val="21"/>
              </w:rPr>
              <w:t>Policy must be for a 12</w:t>
            </w:r>
            <w:r w:rsidR="00B000E3">
              <w:rPr>
                <w:sz w:val="21"/>
                <w:szCs w:val="21"/>
              </w:rPr>
              <w:t>-</w:t>
            </w:r>
            <w:r w:rsidRPr="00BB2319">
              <w:rPr>
                <w:sz w:val="21"/>
                <w:szCs w:val="21"/>
              </w:rPr>
              <w:t>month term</w:t>
            </w:r>
          </w:p>
          <w:p w14:paraId="39BA2212" w14:textId="77777777" w:rsidR="007F7440" w:rsidRPr="00BB2319" w:rsidRDefault="007F7440" w:rsidP="007F7440">
            <w:pPr>
              <w:pStyle w:val="ListParagraph"/>
              <w:numPr>
                <w:ilvl w:val="0"/>
                <w:numId w:val="41"/>
              </w:numPr>
              <w:spacing w:line="276" w:lineRule="auto"/>
              <w:ind w:left="792"/>
              <w:rPr>
                <w:sz w:val="21"/>
                <w:szCs w:val="21"/>
              </w:rPr>
            </w:pPr>
            <w:r w:rsidRPr="00BB2319">
              <w:rPr>
                <w:sz w:val="21"/>
                <w:szCs w:val="21"/>
              </w:rPr>
              <w:t>Any outstanding balance or premium hazard due within 60 days of funding date must be collected and/or paid in full by closing</w:t>
            </w:r>
          </w:p>
          <w:p w14:paraId="34B9E78A" w14:textId="77777777" w:rsidR="007F7440" w:rsidRPr="00BB2319" w:rsidRDefault="007F7440" w:rsidP="007F7440">
            <w:pPr>
              <w:pStyle w:val="ListParagraph"/>
              <w:numPr>
                <w:ilvl w:val="0"/>
                <w:numId w:val="41"/>
              </w:numPr>
              <w:spacing w:line="276" w:lineRule="auto"/>
              <w:ind w:left="792"/>
              <w:rPr>
                <w:sz w:val="21"/>
                <w:szCs w:val="21"/>
              </w:rPr>
            </w:pPr>
            <w:r w:rsidRPr="00BB2319">
              <w:rPr>
                <w:sz w:val="21"/>
                <w:szCs w:val="21"/>
              </w:rPr>
              <w:t>Insurance should be in the name of the borrower as shown on the Note and not an entity. If policy is in name of an entity the borrower must be listed as an “additional insured”.</w:t>
            </w:r>
          </w:p>
          <w:p w14:paraId="5AF476F1" w14:textId="77777777" w:rsidR="007F7440" w:rsidRPr="00BB2319" w:rsidRDefault="007F7440" w:rsidP="007F7440">
            <w:pPr>
              <w:pStyle w:val="ListParagraph"/>
              <w:numPr>
                <w:ilvl w:val="0"/>
                <w:numId w:val="41"/>
              </w:numPr>
              <w:spacing w:line="276" w:lineRule="auto"/>
              <w:ind w:left="792"/>
              <w:rPr>
                <w:sz w:val="21"/>
                <w:szCs w:val="21"/>
              </w:rPr>
            </w:pPr>
            <w:r w:rsidRPr="00BB2319">
              <w:rPr>
                <w:sz w:val="21"/>
                <w:szCs w:val="21"/>
              </w:rPr>
              <w:t>Subject property address and unit number (if applicable) must match the address as shown on the Note</w:t>
            </w:r>
          </w:p>
          <w:p w14:paraId="5B0860DB" w14:textId="77777777" w:rsidR="00C767F9" w:rsidRPr="00EC0B05" w:rsidRDefault="00C767F9" w:rsidP="00471F7C">
            <w:pPr>
              <w:autoSpaceDE w:val="0"/>
              <w:autoSpaceDN w:val="0"/>
              <w:adjustRightInd w:val="0"/>
              <w:contextualSpacing/>
              <w:rPr>
                <w:w w:val="110"/>
                <w:sz w:val="21"/>
                <w:szCs w:val="21"/>
              </w:rPr>
            </w:pPr>
          </w:p>
          <w:p w14:paraId="6B78A04D" w14:textId="77777777" w:rsidR="00C44485" w:rsidRPr="00EC0B05" w:rsidRDefault="00D7187C" w:rsidP="00471F7C">
            <w:pPr>
              <w:autoSpaceDE w:val="0"/>
              <w:autoSpaceDN w:val="0"/>
              <w:adjustRightInd w:val="0"/>
              <w:contextualSpacing/>
              <w:rPr>
                <w:sz w:val="21"/>
                <w:szCs w:val="21"/>
              </w:rPr>
            </w:pPr>
            <w:r w:rsidRPr="00EC0B05">
              <w:rPr>
                <w:b/>
                <w:w w:val="110"/>
                <w:sz w:val="21"/>
                <w:szCs w:val="21"/>
                <w:u w:val="single"/>
              </w:rPr>
              <w:t xml:space="preserve">Condo </w:t>
            </w:r>
            <w:r w:rsidR="00C767F9" w:rsidRPr="00EC0B05">
              <w:rPr>
                <w:b/>
                <w:w w:val="110"/>
                <w:sz w:val="21"/>
                <w:szCs w:val="21"/>
                <w:u w:val="single"/>
              </w:rPr>
              <w:t>(</w:t>
            </w:r>
            <w:r w:rsidR="00F61526" w:rsidRPr="00EC0B05">
              <w:rPr>
                <w:b/>
                <w:w w:val="110"/>
                <w:sz w:val="21"/>
                <w:szCs w:val="21"/>
                <w:u w:val="single"/>
              </w:rPr>
              <w:t>HO-6</w:t>
            </w:r>
            <w:r w:rsidR="00C767F9" w:rsidRPr="00EC0B05">
              <w:rPr>
                <w:b/>
                <w:w w:val="110"/>
                <w:sz w:val="21"/>
                <w:szCs w:val="21"/>
                <w:u w:val="single"/>
              </w:rPr>
              <w:t>)</w:t>
            </w:r>
            <w:r w:rsidR="00F61526" w:rsidRPr="00EC0B05">
              <w:rPr>
                <w:b/>
                <w:w w:val="110"/>
                <w:sz w:val="21"/>
                <w:szCs w:val="21"/>
                <w:u w:val="single"/>
              </w:rPr>
              <w:t xml:space="preserve"> coverage:</w:t>
            </w:r>
            <w:r w:rsidR="00F61526" w:rsidRPr="00EC0B05">
              <w:rPr>
                <w:sz w:val="21"/>
                <w:szCs w:val="21"/>
              </w:rPr>
              <w:t xml:space="preserve"> </w:t>
            </w:r>
          </w:p>
          <w:p w14:paraId="0DAA95A6" w14:textId="77777777" w:rsidR="007E2BB1" w:rsidRPr="00EC0B05" w:rsidRDefault="00F61526" w:rsidP="00A8756A">
            <w:pPr>
              <w:pStyle w:val="ListParagraph"/>
              <w:numPr>
                <w:ilvl w:val="0"/>
                <w:numId w:val="41"/>
              </w:numPr>
              <w:autoSpaceDE w:val="0"/>
              <w:autoSpaceDN w:val="0"/>
              <w:adjustRightInd w:val="0"/>
              <w:rPr>
                <w:w w:val="110"/>
                <w:sz w:val="21"/>
                <w:szCs w:val="21"/>
              </w:rPr>
            </w:pPr>
            <w:r w:rsidRPr="00EC0B05">
              <w:rPr>
                <w:w w:val="110"/>
                <w:sz w:val="21"/>
                <w:szCs w:val="21"/>
              </w:rPr>
              <w:t>Condos require separate "walls-in" coverage if the HOA's Master Policy only covers the exterior.</w:t>
            </w:r>
          </w:p>
          <w:p w14:paraId="643BB587" w14:textId="77777777" w:rsidR="007E2BB1" w:rsidRPr="00EC0B05" w:rsidRDefault="00F61526" w:rsidP="00A8756A">
            <w:pPr>
              <w:pStyle w:val="ListParagraph"/>
              <w:numPr>
                <w:ilvl w:val="0"/>
                <w:numId w:val="41"/>
              </w:numPr>
              <w:autoSpaceDE w:val="0"/>
              <w:autoSpaceDN w:val="0"/>
              <w:adjustRightInd w:val="0"/>
              <w:rPr>
                <w:w w:val="110"/>
                <w:sz w:val="21"/>
                <w:szCs w:val="21"/>
              </w:rPr>
            </w:pPr>
            <w:r w:rsidRPr="00EC0B05">
              <w:rPr>
                <w:w w:val="110"/>
                <w:sz w:val="21"/>
                <w:szCs w:val="21"/>
              </w:rPr>
              <w:lastRenderedPageBreak/>
              <w:t xml:space="preserve">Provide declarations page showing coverage amount, borrower name and subject property address.  </w:t>
            </w:r>
          </w:p>
          <w:p w14:paraId="61AFED08" w14:textId="77777777" w:rsidR="007E2BB1" w:rsidRPr="00EC0B05" w:rsidRDefault="00F61526" w:rsidP="00A8756A">
            <w:pPr>
              <w:pStyle w:val="ListParagraph"/>
              <w:numPr>
                <w:ilvl w:val="0"/>
                <w:numId w:val="41"/>
              </w:numPr>
              <w:autoSpaceDE w:val="0"/>
              <w:autoSpaceDN w:val="0"/>
              <w:adjustRightInd w:val="0"/>
              <w:rPr>
                <w:w w:val="110"/>
                <w:sz w:val="21"/>
                <w:szCs w:val="21"/>
              </w:rPr>
            </w:pPr>
            <w:r w:rsidRPr="00EC0B05">
              <w:rPr>
                <w:w w:val="110"/>
                <w:sz w:val="21"/>
                <w:szCs w:val="21"/>
              </w:rPr>
              <w:t xml:space="preserve">Coverage required is 20% of Appraised Value. </w:t>
            </w:r>
          </w:p>
          <w:p w14:paraId="6BFC1B0D" w14:textId="52C9771C" w:rsidR="004F64D8" w:rsidRPr="00A12BA4" w:rsidRDefault="00B000E3" w:rsidP="00A8756A">
            <w:pPr>
              <w:pStyle w:val="ListParagraph"/>
              <w:numPr>
                <w:ilvl w:val="0"/>
                <w:numId w:val="41"/>
              </w:numPr>
              <w:rPr>
                <w:color w:val="000000" w:themeColor="text1"/>
                <w:sz w:val="21"/>
                <w:szCs w:val="21"/>
              </w:rPr>
            </w:pPr>
            <w:r>
              <w:rPr>
                <w:w w:val="110"/>
                <w:sz w:val="21"/>
                <w:szCs w:val="21"/>
              </w:rPr>
              <w:t>Mortgagee clause to read</w:t>
            </w:r>
            <w:r w:rsidR="00F61526" w:rsidRPr="004F64D8">
              <w:rPr>
                <w:w w:val="110"/>
                <w:sz w:val="21"/>
                <w:szCs w:val="21"/>
              </w:rPr>
              <w:t>:</w:t>
            </w:r>
            <w:r w:rsidR="00B7076F" w:rsidRPr="004F64D8">
              <w:rPr>
                <w:w w:val="110"/>
                <w:sz w:val="21"/>
                <w:szCs w:val="21"/>
              </w:rPr>
              <w:t xml:space="preserve"> </w:t>
            </w:r>
            <w:r w:rsidR="002D1DA1">
              <w:rPr>
                <w:w w:val="110"/>
                <w:sz w:val="21"/>
                <w:szCs w:val="21"/>
              </w:rPr>
              <w:t>Axos Bank</w:t>
            </w:r>
            <w:r w:rsidR="00F61526" w:rsidRPr="004F64D8">
              <w:rPr>
                <w:w w:val="110"/>
                <w:sz w:val="21"/>
                <w:szCs w:val="21"/>
              </w:rPr>
              <w:t xml:space="preserve">, It's Successors and/or Assigns </w:t>
            </w:r>
            <w:r w:rsidR="004F64D8" w:rsidRPr="00A12BA4">
              <w:rPr>
                <w:color w:val="000000" w:themeColor="text1"/>
                <w:sz w:val="21"/>
                <w:szCs w:val="21"/>
              </w:rPr>
              <w:t>P O Box 401420, Las Vegas, NV 89140</w:t>
            </w:r>
          </w:p>
          <w:p w14:paraId="72672588" w14:textId="77777777" w:rsidR="00F61526" w:rsidRPr="00EC0B05" w:rsidRDefault="00F61526" w:rsidP="00A8756A">
            <w:pPr>
              <w:pStyle w:val="ListParagraph"/>
              <w:numPr>
                <w:ilvl w:val="0"/>
                <w:numId w:val="41"/>
              </w:numPr>
              <w:autoSpaceDE w:val="0"/>
              <w:autoSpaceDN w:val="0"/>
              <w:adjustRightInd w:val="0"/>
              <w:rPr>
                <w:w w:val="110"/>
                <w:sz w:val="21"/>
                <w:szCs w:val="21"/>
              </w:rPr>
            </w:pPr>
            <w:r w:rsidRPr="00A12BA4">
              <w:rPr>
                <w:w w:val="110"/>
                <w:sz w:val="21"/>
                <w:szCs w:val="21"/>
              </w:rPr>
              <w:t>Max deductible cannot exceed 5% of the</w:t>
            </w:r>
            <w:r w:rsidRPr="00EC0B05">
              <w:rPr>
                <w:w w:val="110"/>
                <w:sz w:val="21"/>
                <w:szCs w:val="21"/>
              </w:rPr>
              <w:t xml:space="preserve"> face amount of the policy</w:t>
            </w:r>
          </w:p>
          <w:p w14:paraId="7A17C7AA" w14:textId="7EB5819A" w:rsidR="007E2BB1" w:rsidRPr="00EC0B05" w:rsidRDefault="007E2BB1" w:rsidP="00A8756A">
            <w:pPr>
              <w:pStyle w:val="ListParagraph"/>
              <w:numPr>
                <w:ilvl w:val="0"/>
                <w:numId w:val="41"/>
              </w:numPr>
              <w:rPr>
                <w:sz w:val="21"/>
                <w:szCs w:val="21"/>
              </w:rPr>
            </w:pPr>
            <w:r w:rsidRPr="00EC0B05">
              <w:rPr>
                <w:sz w:val="21"/>
                <w:szCs w:val="21"/>
              </w:rPr>
              <w:t>Policy must be</w:t>
            </w:r>
            <w:r w:rsidR="00B000E3">
              <w:rPr>
                <w:sz w:val="21"/>
                <w:szCs w:val="21"/>
              </w:rPr>
              <w:t xml:space="preserve"> for a 12-</w:t>
            </w:r>
            <w:r w:rsidRPr="00EC0B05">
              <w:rPr>
                <w:sz w:val="21"/>
                <w:szCs w:val="21"/>
              </w:rPr>
              <w:t>month term</w:t>
            </w:r>
          </w:p>
          <w:p w14:paraId="7D53CF4C" w14:textId="77777777" w:rsidR="00C9679D" w:rsidRPr="00EC0B05" w:rsidRDefault="00C9679D" w:rsidP="00A8756A">
            <w:pPr>
              <w:pStyle w:val="ListParagraph"/>
              <w:numPr>
                <w:ilvl w:val="0"/>
                <w:numId w:val="41"/>
              </w:numPr>
              <w:rPr>
                <w:sz w:val="21"/>
                <w:szCs w:val="21"/>
              </w:rPr>
            </w:pPr>
            <w:r w:rsidRPr="00EC0B05">
              <w:rPr>
                <w:sz w:val="21"/>
                <w:szCs w:val="21"/>
              </w:rPr>
              <w:t>Any outstanding balance or premium hazard due within 60 days of funding date must be collected and/or paid in full by closing</w:t>
            </w:r>
          </w:p>
          <w:p w14:paraId="13449145" w14:textId="77777777" w:rsidR="00C9679D" w:rsidRPr="00EC0B05" w:rsidRDefault="00C9679D" w:rsidP="00A8756A">
            <w:pPr>
              <w:pStyle w:val="ListParagraph"/>
              <w:numPr>
                <w:ilvl w:val="0"/>
                <w:numId w:val="41"/>
              </w:numPr>
              <w:rPr>
                <w:sz w:val="21"/>
                <w:szCs w:val="21"/>
              </w:rPr>
            </w:pPr>
            <w:r w:rsidRPr="00EC0B05">
              <w:rPr>
                <w:sz w:val="21"/>
                <w:szCs w:val="21"/>
              </w:rPr>
              <w:t>Insurance should be in the name of the borrower - not an entity. If policy is in name of an entity the borrower must be listed as an “additional insured”</w:t>
            </w:r>
            <w:r w:rsidR="00B7076F" w:rsidRPr="00EC0B05">
              <w:rPr>
                <w:sz w:val="21"/>
                <w:szCs w:val="21"/>
              </w:rPr>
              <w:t>.</w:t>
            </w:r>
          </w:p>
          <w:p w14:paraId="4885C4E1" w14:textId="77777777" w:rsidR="002700A6" w:rsidRPr="00EC0B05" w:rsidRDefault="002700A6" w:rsidP="00471F7C">
            <w:pPr>
              <w:pStyle w:val="ListParagraph"/>
              <w:rPr>
                <w:sz w:val="21"/>
                <w:szCs w:val="21"/>
              </w:rPr>
            </w:pPr>
          </w:p>
          <w:p w14:paraId="4EDECA26" w14:textId="77777777" w:rsidR="00C44485" w:rsidRPr="00EC0B05" w:rsidRDefault="00F61526" w:rsidP="00471F7C">
            <w:pPr>
              <w:autoSpaceDE w:val="0"/>
              <w:autoSpaceDN w:val="0"/>
              <w:adjustRightInd w:val="0"/>
              <w:contextualSpacing/>
              <w:rPr>
                <w:w w:val="110"/>
                <w:sz w:val="21"/>
                <w:szCs w:val="21"/>
              </w:rPr>
            </w:pPr>
            <w:r w:rsidRPr="00EC0B05">
              <w:rPr>
                <w:b/>
                <w:w w:val="110"/>
                <w:sz w:val="21"/>
                <w:szCs w:val="21"/>
                <w:u w:val="single"/>
              </w:rPr>
              <w:t>Master Condo Insurance:</w:t>
            </w:r>
            <w:r w:rsidRPr="00EC0B05">
              <w:rPr>
                <w:w w:val="110"/>
                <w:sz w:val="21"/>
                <w:szCs w:val="21"/>
              </w:rPr>
              <w:t xml:space="preserve">  </w:t>
            </w:r>
          </w:p>
          <w:p w14:paraId="53FDE88C" w14:textId="77777777" w:rsidR="007E2BB1" w:rsidRPr="00EC0B05" w:rsidRDefault="00C44485" w:rsidP="00A8756A">
            <w:pPr>
              <w:pStyle w:val="ListParagraph"/>
              <w:numPr>
                <w:ilvl w:val="0"/>
                <w:numId w:val="41"/>
              </w:numPr>
              <w:autoSpaceDE w:val="0"/>
              <w:autoSpaceDN w:val="0"/>
              <w:adjustRightInd w:val="0"/>
              <w:rPr>
                <w:w w:val="110"/>
                <w:sz w:val="21"/>
                <w:szCs w:val="21"/>
              </w:rPr>
            </w:pPr>
            <w:r w:rsidRPr="00EC0B05">
              <w:rPr>
                <w:w w:val="110"/>
                <w:sz w:val="21"/>
                <w:szCs w:val="21"/>
              </w:rPr>
              <w:t>D</w:t>
            </w:r>
            <w:r w:rsidR="00F61526" w:rsidRPr="00EC0B05">
              <w:rPr>
                <w:w w:val="110"/>
                <w:sz w:val="21"/>
                <w:szCs w:val="21"/>
              </w:rPr>
              <w:t xml:space="preserve">eclaration page showing adequate coverage, deductible and insurance agent's name and phone number. </w:t>
            </w:r>
          </w:p>
          <w:p w14:paraId="4ECF2D68" w14:textId="77777777" w:rsidR="007E2BB1" w:rsidRPr="00EC0B05" w:rsidRDefault="00F61526" w:rsidP="00A8756A">
            <w:pPr>
              <w:pStyle w:val="ListParagraph"/>
              <w:numPr>
                <w:ilvl w:val="0"/>
                <w:numId w:val="41"/>
              </w:numPr>
              <w:autoSpaceDE w:val="0"/>
              <w:autoSpaceDN w:val="0"/>
              <w:adjustRightInd w:val="0"/>
              <w:rPr>
                <w:w w:val="110"/>
                <w:sz w:val="21"/>
                <w:szCs w:val="21"/>
              </w:rPr>
            </w:pPr>
            <w:r w:rsidRPr="00EC0B05">
              <w:rPr>
                <w:w w:val="110"/>
                <w:sz w:val="21"/>
                <w:szCs w:val="21"/>
              </w:rPr>
              <w:t xml:space="preserve">Must have a </w:t>
            </w:r>
            <w:r w:rsidR="00C9679D" w:rsidRPr="00EC0B05">
              <w:rPr>
                <w:w w:val="110"/>
                <w:sz w:val="21"/>
                <w:szCs w:val="21"/>
              </w:rPr>
              <w:t>minimum</w:t>
            </w:r>
            <w:r w:rsidRPr="00EC0B05">
              <w:rPr>
                <w:w w:val="110"/>
                <w:sz w:val="21"/>
                <w:szCs w:val="21"/>
              </w:rPr>
              <w:t xml:space="preserve"> of $1 million liability coverage. </w:t>
            </w:r>
          </w:p>
          <w:p w14:paraId="7D0DD3DB" w14:textId="77777777" w:rsidR="007E2BB1" w:rsidRPr="00EC0B05" w:rsidRDefault="00F61526" w:rsidP="00A8756A">
            <w:pPr>
              <w:pStyle w:val="ListParagraph"/>
              <w:numPr>
                <w:ilvl w:val="0"/>
                <w:numId w:val="41"/>
              </w:numPr>
              <w:autoSpaceDE w:val="0"/>
              <w:autoSpaceDN w:val="0"/>
              <w:adjustRightInd w:val="0"/>
              <w:rPr>
                <w:w w:val="110"/>
                <w:sz w:val="21"/>
                <w:szCs w:val="21"/>
              </w:rPr>
            </w:pPr>
            <w:r w:rsidRPr="00EC0B05">
              <w:rPr>
                <w:w w:val="110"/>
                <w:sz w:val="21"/>
                <w:szCs w:val="21"/>
              </w:rPr>
              <w:t>Dec</w:t>
            </w:r>
            <w:r w:rsidR="003225C7" w:rsidRPr="00EC0B05">
              <w:rPr>
                <w:w w:val="110"/>
                <w:sz w:val="21"/>
                <w:szCs w:val="21"/>
              </w:rPr>
              <w:t>laration</w:t>
            </w:r>
            <w:r w:rsidRPr="00EC0B05">
              <w:rPr>
                <w:w w:val="110"/>
                <w:sz w:val="21"/>
                <w:szCs w:val="21"/>
              </w:rPr>
              <w:t xml:space="preserve"> page to include replacement cost endorsement (100%) or guaranteed replacement cost endorsement. </w:t>
            </w:r>
          </w:p>
          <w:p w14:paraId="16857A0A" w14:textId="77777777" w:rsidR="007E2BB1" w:rsidRPr="00EC0B05" w:rsidRDefault="00F61526" w:rsidP="00A8756A">
            <w:pPr>
              <w:pStyle w:val="ListParagraph"/>
              <w:numPr>
                <w:ilvl w:val="0"/>
                <w:numId w:val="41"/>
              </w:numPr>
              <w:autoSpaceDE w:val="0"/>
              <w:autoSpaceDN w:val="0"/>
              <w:adjustRightInd w:val="0"/>
              <w:rPr>
                <w:w w:val="110"/>
                <w:sz w:val="21"/>
                <w:szCs w:val="21"/>
              </w:rPr>
            </w:pPr>
            <w:r w:rsidRPr="00EC0B05">
              <w:rPr>
                <w:w w:val="110"/>
                <w:sz w:val="21"/>
                <w:szCs w:val="21"/>
              </w:rPr>
              <w:t xml:space="preserve">Must reflect all borrowers' names, subject property unit number and total number of units within the complex. </w:t>
            </w:r>
          </w:p>
          <w:p w14:paraId="19A78051" w14:textId="6C50D696" w:rsidR="00F61526" w:rsidRPr="00A12BA4" w:rsidRDefault="007E2BB1" w:rsidP="00471F7C">
            <w:pPr>
              <w:rPr>
                <w:w w:val="110"/>
                <w:sz w:val="21"/>
                <w:szCs w:val="21"/>
              </w:rPr>
            </w:pPr>
            <w:r w:rsidRPr="00EC0B05">
              <w:rPr>
                <w:w w:val="110"/>
                <w:sz w:val="21"/>
                <w:szCs w:val="21"/>
              </w:rPr>
              <w:t>List l</w:t>
            </w:r>
            <w:r w:rsidR="00F61526" w:rsidRPr="00EC0B05">
              <w:rPr>
                <w:w w:val="110"/>
                <w:sz w:val="21"/>
                <w:szCs w:val="21"/>
              </w:rPr>
              <w:t xml:space="preserve">oan number and mortgagee clause to read: </w:t>
            </w:r>
            <w:r w:rsidR="002D1DA1">
              <w:rPr>
                <w:w w:val="110"/>
                <w:sz w:val="21"/>
                <w:szCs w:val="21"/>
              </w:rPr>
              <w:t>Axos Bank</w:t>
            </w:r>
            <w:r w:rsidR="00F61526" w:rsidRPr="00EC0B05">
              <w:rPr>
                <w:w w:val="110"/>
                <w:sz w:val="21"/>
                <w:szCs w:val="21"/>
              </w:rPr>
              <w:t>, Its Successors and/or Assigns</w:t>
            </w:r>
            <w:r w:rsidR="00F61526" w:rsidRPr="00A12BA4">
              <w:rPr>
                <w:w w:val="110"/>
                <w:sz w:val="21"/>
                <w:szCs w:val="21"/>
              </w:rPr>
              <w:t xml:space="preserve">, </w:t>
            </w:r>
            <w:r w:rsidR="004F64D8" w:rsidRPr="00A12BA4">
              <w:rPr>
                <w:color w:val="000000" w:themeColor="text1"/>
                <w:sz w:val="21"/>
                <w:szCs w:val="21"/>
              </w:rPr>
              <w:t>P O Box 401420, Las Vegas, NV 89140</w:t>
            </w:r>
          </w:p>
          <w:p w14:paraId="49F25D1F" w14:textId="77777777" w:rsidR="00F61526" w:rsidRPr="00EC0B05" w:rsidRDefault="00D901F2" w:rsidP="00A8756A">
            <w:pPr>
              <w:pStyle w:val="ListParagraph"/>
              <w:numPr>
                <w:ilvl w:val="0"/>
                <w:numId w:val="41"/>
              </w:numPr>
              <w:rPr>
                <w:w w:val="110"/>
                <w:sz w:val="20"/>
                <w:szCs w:val="20"/>
              </w:rPr>
            </w:pPr>
            <w:r w:rsidRPr="00EC0B05">
              <w:rPr>
                <w:sz w:val="21"/>
                <w:szCs w:val="21"/>
              </w:rPr>
              <w:t xml:space="preserve">If the Master Policy includes </w:t>
            </w:r>
            <w:r w:rsidRPr="00EC0B05">
              <w:rPr>
                <w:b/>
                <w:sz w:val="21"/>
                <w:szCs w:val="21"/>
                <w:u w:val="single"/>
              </w:rPr>
              <w:t>both</w:t>
            </w:r>
            <w:r w:rsidRPr="00EC0B05">
              <w:rPr>
                <w:sz w:val="21"/>
                <w:szCs w:val="21"/>
              </w:rPr>
              <w:t xml:space="preserve"> Building and Walls-In Coverage, it must be noted on the Policy.  In that case, the HO6 policy will be N/A.</w:t>
            </w:r>
          </w:p>
        </w:tc>
      </w:tr>
      <w:tr w:rsidR="00EC0B05" w:rsidRPr="00EC0B05" w14:paraId="1EAA05EB" w14:textId="77777777" w:rsidTr="0063752F">
        <w:tc>
          <w:tcPr>
            <w:tcW w:w="1336" w:type="pct"/>
          </w:tcPr>
          <w:p w14:paraId="6970A82B" w14:textId="77777777" w:rsidR="000016AE" w:rsidRPr="00EC0B05" w:rsidRDefault="000016AE" w:rsidP="00471F7C">
            <w:pPr>
              <w:rPr>
                <w:b/>
                <w:w w:val="110"/>
                <w:sz w:val="21"/>
                <w:szCs w:val="21"/>
              </w:rPr>
            </w:pPr>
            <w:bookmarkStart w:id="48" w:name="HELOC_pmt"/>
            <w:r w:rsidRPr="00EC0B05">
              <w:rPr>
                <w:b/>
                <w:w w:val="110"/>
                <w:sz w:val="21"/>
                <w:szCs w:val="21"/>
              </w:rPr>
              <w:lastRenderedPageBreak/>
              <w:t>Home Equity Line of Credit Payment</w:t>
            </w:r>
            <w:bookmarkEnd w:id="48"/>
          </w:p>
        </w:tc>
        <w:tc>
          <w:tcPr>
            <w:tcW w:w="3664" w:type="pct"/>
          </w:tcPr>
          <w:p w14:paraId="21F066F2" w14:textId="5A07DEAF" w:rsidR="000016AE" w:rsidRPr="00EC0B05" w:rsidRDefault="00026A1B">
            <w:pPr>
              <w:widowControl w:val="0"/>
              <w:tabs>
                <w:tab w:val="left" w:pos="2610"/>
                <w:tab w:val="left" w:pos="2790"/>
              </w:tabs>
              <w:contextualSpacing/>
              <w:rPr>
                <w:w w:val="110"/>
                <w:sz w:val="21"/>
                <w:szCs w:val="21"/>
              </w:rPr>
            </w:pPr>
            <w:r>
              <w:rPr>
                <w:w w:val="110"/>
                <w:sz w:val="21"/>
                <w:szCs w:val="21"/>
              </w:rPr>
              <w:t>Current p</w:t>
            </w:r>
            <w:r w:rsidR="000016AE" w:rsidRPr="00EC0B05">
              <w:rPr>
                <w:w w:val="110"/>
                <w:sz w:val="21"/>
                <w:szCs w:val="21"/>
              </w:rPr>
              <w:t>ayments on home equity line of credit loans (“HELOC”) must be considered as part of the borrower’s recurring monthly debt obligations.  If the HELOC does not require a payment, there is no recurring monthly debt or need to consider.</w:t>
            </w:r>
          </w:p>
        </w:tc>
      </w:tr>
      <w:tr w:rsidR="00EC0B05" w:rsidRPr="00EC0B05" w14:paraId="71F8584F" w14:textId="77777777" w:rsidTr="0063752F">
        <w:tc>
          <w:tcPr>
            <w:tcW w:w="1336" w:type="pct"/>
          </w:tcPr>
          <w:p w14:paraId="7BB1BE17" w14:textId="77777777" w:rsidR="000016AE" w:rsidRPr="00EC0B05" w:rsidRDefault="000016AE" w:rsidP="00471F7C">
            <w:pPr>
              <w:contextualSpacing/>
              <w:rPr>
                <w:b/>
                <w:sz w:val="21"/>
                <w:szCs w:val="21"/>
              </w:rPr>
            </w:pPr>
            <w:bookmarkStart w:id="49" w:name="income_tax_pmt"/>
            <w:r w:rsidRPr="00EC0B05">
              <w:rPr>
                <w:b/>
                <w:sz w:val="21"/>
                <w:szCs w:val="21"/>
              </w:rPr>
              <w:t>Income Tax Payment Plan</w:t>
            </w:r>
          </w:p>
          <w:bookmarkEnd w:id="49"/>
          <w:p w14:paraId="6CD6819F" w14:textId="77777777" w:rsidR="000016AE" w:rsidRPr="00EC0B05" w:rsidRDefault="000016AE" w:rsidP="00471F7C">
            <w:pPr>
              <w:rPr>
                <w:b/>
                <w:sz w:val="21"/>
                <w:szCs w:val="21"/>
              </w:rPr>
            </w:pPr>
          </w:p>
        </w:tc>
        <w:tc>
          <w:tcPr>
            <w:tcW w:w="3664" w:type="pct"/>
          </w:tcPr>
          <w:p w14:paraId="7C37A7F8" w14:textId="77777777" w:rsidR="000016AE" w:rsidRPr="00EC0B05" w:rsidRDefault="000016AE" w:rsidP="00471F7C">
            <w:pPr>
              <w:contextualSpacing/>
              <w:rPr>
                <w:w w:val="110"/>
                <w:sz w:val="21"/>
                <w:szCs w:val="21"/>
              </w:rPr>
            </w:pPr>
            <w:r w:rsidRPr="00EC0B05">
              <w:rPr>
                <w:w w:val="110"/>
                <w:sz w:val="21"/>
                <w:szCs w:val="21"/>
              </w:rPr>
              <w:t>Income tax payment plans are not required to be paid off.  The following requirements apply:</w:t>
            </w:r>
          </w:p>
          <w:p w14:paraId="7E33D4FE" w14:textId="77777777" w:rsidR="000016AE" w:rsidRPr="00EC0B05" w:rsidRDefault="000016AE" w:rsidP="00A8756A">
            <w:pPr>
              <w:pStyle w:val="ListParagraph"/>
              <w:numPr>
                <w:ilvl w:val="0"/>
                <w:numId w:val="30"/>
              </w:numPr>
              <w:ind w:left="702"/>
              <w:rPr>
                <w:w w:val="110"/>
                <w:sz w:val="21"/>
                <w:szCs w:val="21"/>
              </w:rPr>
            </w:pPr>
            <w:r w:rsidRPr="00EC0B05">
              <w:rPr>
                <w:w w:val="110"/>
                <w:sz w:val="21"/>
                <w:szCs w:val="21"/>
              </w:rPr>
              <w:t>A tax lien has not been recorded</w:t>
            </w:r>
          </w:p>
          <w:p w14:paraId="257F16E0" w14:textId="77777777" w:rsidR="000016AE" w:rsidRPr="00EC0B05" w:rsidRDefault="000016AE" w:rsidP="00A8756A">
            <w:pPr>
              <w:pStyle w:val="ListParagraph"/>
              <w:numPr>
                <w:ilvl w:val="0"/>
                <w:numId w:val="30"/>
              </w:numPr>
              <w:ind w:left="702"/>
              <w:rPr>
                <w:w w:val="110"/>
                <w:sz w:val="21"/>
                <w:szCs w:val="21"/>
              </w:rPr>
            </w:pPr>
            <w:r w:rsidRPr="00EC0B05">
              <w:rPr>
                <w:w w:val="110"/>
                <w:sz w:val="21"/>
                <w:szCs w:val="21"/>
              </w:rPr>
              <w:t>A letter of explanation regarding the reason for the plan is required</w:t>
            </w:r>
          </w:p>
          <w:p w14:paraId="179D59EE" w14:textId="77777777" w:rsidR="000016AE" w:rsidRPr="00EC0B05" w:rsidRDefault="000016AE" w:rsidP="00A8756A">
            <w:pPr>
              <w:pStyle w:val="ListParagraph"/>
              <w:numPr>
                <w:ilvl w:val="0"/>
                <w:numId w:val="30"/>
              </w:numPr>
              <w:ind w:left="702"/>
              <w:rPr>
                <w:w w:val="110"/>
                <w:sz w:val="21"/>
                <w:szCs w:val="21"/>
              </w:rPr>
            </w:pPr>
            <w:r w:rsidRPr="00EC0B05">
              <w:rPr>
                <w:w w:val="110"/>
                <w:sz w:val="21"/>
                <w:szCs w:val="21"/>
              </w:rPr>
              <w:t>A copy of the payment plan is required to verify the terms of the plan</w:t>
            </w:r>
          </w:p>
          <w:p w14:paraId="0A8FCF0A" w14:textId="77777777" w:rsidR="000016AE" w:rsidRPr="00EC0B05" w:rsidRDefault="000016AE" w:rsidP="00A8756A">
            <w:pPr>
              <w:pStyle w:val="ListParagraph"/>
              <w:numPr>
                <w:ilvl w:val="0"/>
                <w:numId w:val="30"/>
              </w:numPr>
              <w:ind w:left="702"/>
              <w:rPr>
                <w:w w:val="110"/>
                <w:sz w:val="21"/>
                <w:szCs w:val="21"/>
              </w:rPr>
            </w:pPr>
            <w:r w:rsidRPr="00EC0B05">
              <w:rPr>
                <w:w w:val="110"/>
                <w:sz w:val="21"/>
                <w:szCs w:val="21"/>
              </w:rPr>
              <w:t>Payments must be current</w:t>
            </w:r>
          </w:p>
          <w:p w14:paraId="4A06625D" w14:textId="77777777" w:rsidR="000016AE" w:rsidRPr="00EC0B05" w:rsidRDefault="000016AE" w:rsidP="00A8756A">
            <w:pPr>
              <w:pStyle w:val="ListParagraph"/>
              <w:numPr>
                <w:ilvl w:val="0"/>
                <w:numId w:val="30"/>
              </w:numPr>
              <w:ind w:left="702"/>
              <w:rPr>
                <w:rFonts w:eastAsia="Times New Roman"/>
                <w:sz w:val="21"/>
                <w:szCs w:val="21"/>
              </w:rPr>
            </w:pPr>
            <w:r w:rsidRPr="00EC0B05">
              <w:rPr>
                <w:w w:val="110"/>
                <w:sz w:val="21"/>
                <w:szCs w:val="21"/>
              </w:rPr>
              <w:t>If more than six months is remaining on the plan, the payment is included in the ratios.</w:t>
            </w:r>
          </w:p>
        </w:tc>
      </w:tr>
      <w:tr w:rsidR="00EC0B05" w:rsidRPr="00EC0B05" w14:paraId="48BBBEFA" w14:textId="77777777" w:rsidTr="0063752F">
        <w:tc>
          <w:tcPr>
            <w:tcW w:w="1336" w:type="pct"/>
          </w:tcPr>
          <w:p w14:paraId="5F60B653" w14:textId="77777777" w:rsidR="000016AE" w:rsidRPr="00EC0B05" w:rsidRDefault="000016AE" w:rsidP="00471F7C">
            <w:pPr>
              <w:rPr>
                <w:b/>
                <w:sz w:val="21"/>
                <w:szCs w:val="21"/>
              </w:rPr>
            </w:pPr>
            <w:bookmarkStart w:id="50" w:name="inquiries"/>
            <w:r w:rsidRPr="00EC0B05">
              <w:rPr>
                <w:b/>
                <w:sz w:val="21"/>
                <w:szCs w:val="21"/>
              </w:rPr>
              <w:t>Inquiries</w:t>
            </w:r>
            <w:bookmarkEnd w:id="50"/>
          </w:p>
        </w:tc>
        <w:tc>
          <w:tcPr>
            <w:tcW w:w="3664" w:type="pct"/>
          </w:tcPr>
          <w:p w14:paraId="6C11EFB4" w14:textId="77777777" w:rsidR="007F09F9" w:rsidRDefault="000016AE">
            <w:pPr>
              <w:contextualSpacing/>
              <w:rPr>
                <w:w w:val="110"/>
                <w:sz w:val="21"/>
                <w:szCs w:val="21"/>
              </w:rPr>
            </w:pPr>
            <w:r w:rsidRPr="00EC0B05">
              <w:rPr>
                <w:w w:val="110"/>
                <w:sz w:val="21"/>
                <w:szCs w:val="21"/>
              </w:rPr>
              <w:t xml:space="preserve">When the credit report indicates that recent inquiries took place, confirmation that the borrower has not obtained any additional credit (that is not reflected in the credit report or the mortgage application) is required.  </w:t>
            </w:r>
          </w:p>
          <w:p w14:paraId="4F2CA024" w14:textId="77777777" w:rsidR="007F09F9" w:rsidRDefault="007F09F9">
            <w:pPr>
              <w:contextualSpacing/>
              <w:rPr>
                <w:w w:val="110"/>
                <w:sz w:val="21"/>
                <w:szCs w:val="21"/>
              </w:rPr>
            </w:pPr>
          </w:p>
          <w:p w14:paraId="1C3F7016" w14:textId="0725C614" w:rsidR="000016AE" w:rsidRPr="00EC0B05" w:rsidRDefault="000016AE">
            <w:pPr>
              <w:contextualSpacing/>
              <w:rPr>
                <w:w w:val="110"/>
                <w:sz w:val="21"/>
                <w:szCs w:val="21"/>
              </w:rPr>
            </w:pPr>
            <w:r w:rsidRPr="00EC0B05">
              <w:rPr>
                <w:w w:val="110"/>
                <w:sz w:val="21"/>
                <w:szCs w:val="21"/>
              </w:rPr>
              <w:t>If additional credit was obtained, a verification of that debt must be provided and the borrower must be qualified utilizing the monthly payment.</w:t>
            </w:r>
          </w:p>
        </w:tc>
      </w:tr>
      <w:tr w:rsidR="00EC0B05" w:rsidRPr="00EC0B05" w14:paraId="4D8A42EB" w14:textId="77777777" w:rsidTr="0063752F">
        <w:tc>
          <w:tcPr>
            <w:tcW w:w="1336" w:type="pct"/>
          </w:tcPr>
          <w:p w14:paraId="659A657E" w14:textId="77777777" w:rsidR="000016AE" w:rsidRPr="00EC0B05" w:rsidRDefault="000016AE" w:rsidP="00471F7C">
            <w:pPr>
              <w:rPr>
                <w:b/>
                <w:sz w:val="21"/>
                <w:szCs w:val="21"/>
              </w:rPr>
            </w:pPr>
            <w:bookmarkStart w:id="51" w:name="installment_debt"/>
            <w:r w:rsidRPr="00EC0B05">
              <w:rPr>
                <w:b/>
                <w:sz w:val="21"/>
                <w:szCs w:val="21"/>
              </w:rPr>
              <w:t>Installment Debt</w:t>
            </w:r>
            <w:bookmarkEnd w:id="51"/>
          </w:p>
        </w:tc>
        <w:tc>
          <w:tcPr>
            <w:tcW w:w="3664" w:type="pct"/>
          </w:tcPr>
          <w:p w14:paraId="6F348975" w14:textId="77777777" w:rsidR="000016AE" w:rsidRPr="00EC0B05" w:rsidRDefault="000016AE">
            <w:pPr>
              <w:tabs>
                <w:tab w:val="left" w:pos="2610"/>
                <w:tab w:val="left" w:pos="2790"/>
              </w:tabs>
              <w:contextualSpacing/>
              <w:rPr>
                <w:w w:val="110"/>
                <w:sz w:val="21"/>
                <w:szCs w:val="21"/>
              </w:rPr>
            </w:pPr>
            <w:r w:rsidRPr="00EC0B05">
              <w:rPr>
                <w:w w:val="110"/>
                <w:sz w:val="21"/>
                <w:szCs w:val="21"/>
              </w:rPr>
              <w:t xml:space="preserve">All installment debt that is not secured by a financial asset, including student loans, automobile loans, and home equity loans, must be considered part of the borrower’s recurring monthly debt obligations, if there are more than ten monthly payments remaining.  Pay-down of installment debt to ten or less monthly payments is allowed to assist in qualifying.   </w:t>
            </w:r>
          </w:p>
        </w:tc>
      </w:tr>
      <w:tr w:rsidR="00EC0B05" w:rsidRPr="00EC0B05" w14:paraId="021E74D5" w14:textId="77777777" w:rsidTr="0063752F">
        <w:tc>
          <w:tcPr>
            <w:tcW w:w="1336" w:type="pct"/>
          </w:tcPr>
          <w:p w14:paraId="4C35FD20" w14:textId="77777777" w:rsidR="000016AE" w:rsidRPr="00EC0B05" w:rsidRDefault="000016AE" w:rsidP="00471F7C">
            <w:pPr>
              <w:rPr>
                <w:b/>
                <w:w w:val="110"/>
                <w:sz w:val="21"/>
                <w:szCs w:val="21"/>
              </w:rPr>
            </w:pPr>
            <w:bookmarkStart w:id="52" w:name="int_only"/>
            <w:r w:rsidRPr="00EC0B05">
              <w:rPr>
                <w:b/>
                <w:w w:val="110"/>
                <w:sz w:val="21"/>
                <w:szCs w:val="21"/>
              </w:rPr>
              <w:t>Interest Only</w:t>
            </w:r>
            <w:bookmarkEnd w:id="52"/>
          </w:p>
        </w:tc>
        <w:tc>
          <w:tcPr>
            <w:tcW w:w="3664" w:type="pct"/>
          </w:tcPr>
          <w:p w14:paraId="4E3C809A" w14:textId="7436F1CB" w:rsidR="000016AE" w:rsidRPr="00EC0B05" w:rsidRDefault="000016AE">
            <w:pPr>
              <w:contextualSpacing/>
              <w:rPr>
                <w:w w:val="110"/>
                <w:sz w:val="21"/>
                <w:szCs w:val="21"/>
              </w:rPr>
            </w:pPr>
            <w:r w:rsidRPr="00EC0B05">
              <w:rPr>
                <w:sz w:val="21"/>
                <w:szCs w:val="21"/>
              </w:rPr>
              <w:t xml:space="preserve">Interest-only payments are calculated using the greater of </w:t>
            </w:r>
            <w:r w:rsidR="00434B20">
              <w:rPr>
                <w:sz w:val="21"/>
                <w:szCs w:val="21"/>
              </w:rPr>
              <w:t xml:space="preserve">the </w:t>
            </w:r>
            <w:r w:rsidRPr="00EC0B05">
              <w:rPr>
                <w:sz w:val="21"/>
                <w:szCs w:val="21"/>
              </w:rPr>
              <w:t>start rate or fully indexed rate</w:t>
            </w:r>
            <w:r w:rsidR="00434B20">
              <w:rPr>
                <w:sz w:val="21"/>
                <w:szCs w:val="21"/>
              </w:rPr>
              <w:t>,</w:t>
            </w:r>
            <w:r w:rsidR="00723004">
              <w:rPr>
                <w:sz w:val="21"/>
                <w:szCs w:val="21"/>
              </w:rPr>
              <w:t xml:space="preserve"> utilizing a 25-</w:t>
            </w:r>
            <w:r w:rsidRPr="00EC0B05">
              <w:rPr>
                <w:sz w:val="21"/>
                <w:szCs w:val="21"/>
              </w:rPr>
              <w:t xml:space="preserve">year amortization term.  </w:t>
            </w:r>
          </w:p>
        </w:tc>
      </w:tr>
      <w:tr w:rsidR="00EC0B05" w:rsidRPr="00EC0B05" w14:paraId="3828415F" w14:textId="77777777" w:rsidTr="0063752F">
        <w:tc>
          <w:tcPr>
            <w:tcW w:w="1336" w:type="pct"/>
          </w:tcPr>
          <w:p w14:paraId="6574BD88" w14:textId="77777777" w:rsidR="000016AE" w:rsidRPr="00EC0B05" w:rsidRDefault="000016AE" w:rsidP="00471F7C">
            <w:pPr>
              <w:rPr>
                <w:sz w:val="21"/>
                <w:szCs w:val="21"/>
              </w:rPr>
            </w:pPr>
            <w:bookmarkStart w:id="53" w:name="int_party_contr"/>
            <w:r w:rsidRPr="00EC0B05">
              <w:rPr>
                <w:b/>
                <w:sz w:val="21"/>
                <w:szCs w:val="21"/>
              </w:rPr>
              <w:lastRenderedPageBreak/>
              <w:t>Interested Party Contributions</w:t>
            </w:r>
            <w:bookmarkEnd w:id="53"/>
          </w:p>
        </w:tc>
        <w:tc>
          <w:tcPr>
            <w:tcW w:w="3664" w:type="pct"/>
          </w:tcPr>
          <w:p w14:paraId="09D84DC4" w14:textId="77777777" w:rsidR="00072419" w:rsidRDefault="000016AE" w:rsidP="00471F7C">
            <w:pPr>
              <w:contextualSpacing/>
              <w:rPr>
                <w:sz w:val="21"/>
                <w:szCs w:val="21"/>
              </w:rPr>
            </w:pPr>
            <w:r w:rsidRPr="00EC0B05">
              <w:rPr>
                <w:sz w:val="21"/>
                <w:szCs w:val="21"/>
              </w:rPr>
              <w:t xml:space="preserve">IPCs are costs that are normally the responsibility of the property purchaser, which are paid, directly or indirectly, by someone else who has a financial interest in, or can influence the terms and sale, or transfer of, the subject property. Interested parties to a transaction include, but are not limited to: the property seller, the builder/ developer, the real estate agent or broker, or an affiliate who may benefit from the sale of the property and/or the sale of the property at the highest price possible.  </w:t>
            </w:r>
          </w:p>
          <w:p w14:paraId="19F09F8B" w14:textId="77777777" w:rsidR="00072419" w:rsidRDefault="00072419" w:rsidP="00471F7C">
            <w:pPr>
              <w:contextualSpacing/>
              <w:rPr>
                <w:sz w:val="21"/>
                <w:szCs w:val="21"/>
              </w:rPr>
            </w:pPr>
          </w:p>
          <w:p w14:paraId="4A98066A" w14:textId="4A2C20BC" w:rsidR="000016AE" w:rsidRPr="00EC0B05" w:rsidRDefault="000016AE" w:rsidP="00471F7C">
            <w:pPr>
              <w:contextualSpacing/>
              <w:rPr>
                <w:sz w:val="21"/>
                <w:szCs w:val="21"/>
              </w:rPr>
            </w:pPr>
            <w:r w:rsidRPr="00EC0B05">
              <w:rPr>
                <w:sz w:val="21"/>
                <w:szCs w:val="21"/>
              </w:rPr>
              <w:t>A lender or employer is not considered an interested party to a sales transaction unless it is the property seller or is affiliated with the property seller or another interested party to the transaction.  IPCs are either financing concessions or sales concessions.  The following are considered to be IPCs:</w:t>
            </w:r>
          </w:p>
          <w:p w14:paraId="453AF297" w14:textId="2A407F53" w:rsidR="000016AE" w:rsidRPr="00EC0B05" w:rsidRDefault="000016AE" w:rsidP="00A8756A">
            <w:pPr>
              <w:pStyle w:val="ListParagraph"/>
              <w:numPr>
                <w:ilvl w:val="0"/>
                <w:numId w:val="17"/>
              </w:numPr>
              <w:rPr>
                <w:sz w:val="21"/>
                <w:szCs w:val="21"/>
              </w:rPr>
            </w:pPr>
            <w:r w:rsidRPr="00EC0B05">
              <w:rPr>
                <w:sz w:val="21"/>
                <w:szCs w:val="21"/>
              </w:rPr>
              <w:t>Funds that are paid directly</w:t>
            </w:r>
            <w:r w:rsidR="00B05ABD">
              <w:rPr>
                <w:sz w:val="21"/>
                <w:szCs w:val="21"/>
              </w:rPr>
              <w:t xml:space="preserve"> or indirectly</w:t>
            </w:r>
            <w:r w:rsidRPr="00EC0B05">
              <w:rPr>
                <w:sz w:val="21"/>
                <w:szCs w:val="21"/>
              </w:rPr>
              <w:t xml:space="preserve"> from the interested party to the borrower;</w:t>
            </w:r>
          </w:p>
          <w:p w14:paraId="01795BC8" w14:textId="77777777" w:rsidR="000016AE" w:rsidRPr="00EC0B05" w:rsidRDefault="000016AE" w:rsidP="00A8756A">
            <w:pPr>
              <w:pStyle w:val="ListParagraph"/>
              <w:numPr>
                <w:ilvl w:val="0"/>
                <w:numId w:val="17"/>
              </w:numPr>
              <w:rPr>
                <w:sz w:val="21"/>
                <w:szCs w:val="21"/>
              </w:rPr>
            </w:pPr>
            <w:r w:rsidRPr="00EC0B05">
              <w:rPr>
                <w:sz w:val="21"/>
                <w:szCs w:val="21"/>
              </w:rPr>
              <w:t>Funds that flow from an interested party through a third-party organization, including nonprofit entities, to the borrower;</w:t>
            </w:r>
          </w:p>
          <w:p w14:paraId="27C2C1BA" w14:textId="77777777" w:rsidR="000016AE" w:rsidRPr="00EC0B05" w:rsidRDefault="000016AE" w:rsidP="00A8756A">
            <w:pPr>
              <w:pStyle w:val="ListParagraph"/>
              <w:numPr>
                <w:ilvl w:val="0"/>
                <w:numId w:val="17"/>
              </w:numPr>
              <w:rPr>
                <w:sz w:val="21"/>
                <w:szCs w:val="21"/>
              </w:rPr>
            </w:pPr>
            <w:r w:rsidRPr="00EC0B05">
              <w:rPr>
                <w:sz w:val="21"/>
                <w:szCs w:val="21"/>
              </w:rPr>
              <w:t>Funds that flow to the transaction on the borrower’s behalf from an interested party, including a third-party organization or nonprofit agency; and</w:t>
            </w:r>
          </w:p>
          <w:p w14:paraId="758ECDA4" w14:textId="77777777" w:rsidR="000016AE" w:rsidRPr="00EC0B05" w:rsidRDefault="000016AE" w:rsidP="00A8756A">
            <w:pPr>
              <w:pStyle w:val="ListParagraph"/>
              <w:numPr>
                <w:ilvl w:val="0"/>
                <w:numId w:val="17"/>
              </w:numPr>
              <w:rPr>
                <w:sz w:val="21"/>
                <w:szCs w:val="21"/>
              </w:rPr>
            </w:pPr>
            <w:r w:rsidRPr="00EC0B05">
              <w:rPr>
                <w:sz w:val="21"/>
                <w:szCs w:val="21"/>
              </w:rPr>
              <w:t>Funds that are donated to a third party, which then provide the money to pay some or all of the closing costs for a specific transaction.</w:t>
            </w:r>
          </w:p>
          <w:p w14:paraId="02740674" w14:textId="5224780D" w:rsidR="000016AE" w:rsidRPr="00EC0B05" w:rsidRDefault="00723004" w:rsidP="00A8756A">
            <w:pPr>
              <w:pStyle w:val="ListParagraph"/>
              <w:numPr>
                <w:ilvl w:val="0"/>
                <w:numId w:val="17"/>
              </w:numPr>
              <w:rPr>
                <w:sz w:val="21"/>
                <w:szCs w:val="21"/>
              </w:rPr>
            </w:pPr>
            <w:r>
              <w:rPr>
                <w:sz w:val="21"/>
                <w:szCs w:val="21"/>
              </w:rPr>
              <w:t>IPCs are limited to 6%</w:t>
            </w:r>
            <w:r w:rsidR="000016AE" w:rsidRPr="00EC0B05">
              <w:rPr>
                <w:sz w:val="21"/>
                <w:szCs w:val="21"/>
              </w:rPr>
              <w:t>, not to exceed actual closing costs</w:t>
            </w:r>
          </w:p>
        </w:tc>
      </w:tr>
      <w:tr w:rsidR="00026A1B" w:rsidRPr="00EC0B05" w14:paraId="2C24A22A" w14:textId="77777777" w:rsidTr="0063752F">
        <w:tc>
          <w:tcPr>
            <w:tcW w:w="1336" w:type="pct"/>
          </w:tcPr>
          <w:p w14:paraId="7B6099F3" w14:textId="77777777" w:rsidR="00026A1B" w:rsidRPr="00EC0B05" w:rsidRDefault="00026A1B" w:rsidP="00471F7C">
            <w:pPr>
              <w:rPr>
                <w:b/>
                <w:sz w:val="21"/>
                <w:szCs w:val="21"/>
              </w:rPr>
            </w:pPr>
            <w:bookmarkStart w:id="54" w:name="IORR"/>
            <w:r>
              <w:rPr>
                <w:b/>
                <w:sz w:val="21"/>
                <w:szCs w:val="21"/>
              </w:rPr>
              <w:t>Investor Owned Residential Real Estate (IORR)</w:t>
            </w:r>
            <w:bookmarkEnd w:id="54"/>
          </w:p>
        </w:tc>
        <w:tc>
          <w:tcPr>
            <w:tcW w:w="3664" w:type="pct"/>
          </w:tcPr>
          <w:p w14:paraId="43FEF836" w14:textId="77777777" w:rsidR="00026A1B" w:rsidRDefault="00026A1B">
            <w:pPr>
              <w:autoSpaceDE w:val="0"/>
              <w:autoSpaceDN w:val="0"/>
              <w:adjustRightInd w:val="0"/>
              <w:rPr>
                <w:color w:val="1F161F"/>
                <w:w w:val="110"/>
                <w:sz w:val="21"/>
                <w:szCs w:val="21"/>
              </w:rPr>
            </w:pPr>
            <w:r>
              <w:rPr>
                <w:color w:val="1F161F"/>
                <w:w w:val="110"/>
                <w:sz w:val="21"/>
                <w:szCs w:val="21"/>
              </w:rPr>
              <w:t>Loans on investment properties will be considered an Investor Owned Residential Real Estate (IORR) loan if ALL of the following conditions are met:</w:t>
            </w:r>
          </w:p>
          <w:p w14:paraId="2785100D" w14:textId="39F1AEAA" w:rsidR="00026A1B" w:rsidRDefault="00026A1B" w:rsidP="00A8756A">
            <w:pPr>
              <w:pStyle w:val="ListParagraph"/>
              <w:numPr>
                <w:ilvl w:val="0"/>
                <w:numId w:val="57"/>
              </w:numPr>
              <w:autoSpaceDE w:val="0"/>
              <w:autoSpaceDN w:val="0"/>
              <w:adjustRightInd w:val="0"/>
              <w:ind w:left="694"/>
              <w:rPr>
                <w:color w:val="1F161F"/>
                <w:w w:val="110"/>
                <w:sz w:val="21"/>
                <w:szCs w:val="21"/>
              </w:rPr>
            </w:pPr>
            <w:r>
              <w:rPr>
                <w:color w:val="1F161F"/>
                <w:w w:val="110"/>
                <w:sz w:val="21"/>
                <w:szCs w:val="21"/>
              </w:rPr>
              <w:t>The subject is an investment property</w:t>
            </w:r>
            <w:r w:rsidR="00723004">
              <w:rPr>
                <w:color w:val="1F161F"/>
                <w:w w:val="110"/>
                <w:sz w:val="21"/>
                <w:szCs w:val="21"/>
              </w:rPr>
              <w:t>;</w:t>
            </w:r>
          </w:p>
          <w:p w14:paraId="36C593CC" w14:textId="02FC6879" w:rsidR="00026A1B" w:rsidRDefault="00026A1B" w:rsidP="00A8756A">
            <w:pPr>
              <w:pStyle w:val="ListParagraph"/>
              <w:numPr>
                <w:ilvl w:val="0"/>
                <w:numId w:val="57"/>
              </w:numPr>
              <w:autoSpaceDE w:val="0"/>
              <w:autoSpaceDN w:val="0"/>
              <w:adjustRightInd w:val="0"/>
              <w:ind w:left="694"/>
              <w:rPr>
                <w:color w:val="1F161F"/>
                <w:w w:val="110"/>
                <w:sz w:val="21"/>
                <w:szCs w:val="21"/>
              </w:rPr>
            </w:pPr>
            <w:r>
              <w:rPr>
                <w:color w:val="1F161F"/>
                <w:w w:val="110"/>
                <w:sz w:val="21"/>
                <w:szCs w:val="21"/>
              </w:rPr>
              <w:t>Rental income makes up the majority of the borrower’s income</w:t>
            </w:r>
            <w:r w:rsidR="00723004">
              <w:rPr>
                <w:color w:val="1F161F"/>
                <w:w w:val="110"/>
                <w:sz w:val="21"/>
                <w:szCs w:val="21"/>
              </w:rPr>
              <w:t>;</w:t>
            </w:r>
            <w:r w:rsidR="00164E45">
              <w:rPr>
                <w:color w:val="1F161F"/>
                <w:w w:val="110"/>
                <w:sz w:val="21"/>
                <w:szCs w:val="21"/>
              </w:rPr>
              <w:t xml:space="preserve"> and</w:t>
            </w:r>
          </w:p>
          <w:p w14:paraId="54C3C11D" w14:textId="07F3FD5E" w:rsidR="00026A1B" w:rsidRDefault="00026A1B" w:rsidP="00A8756A">
            <w:pPr>
              <w:pStyle w:val="ListParagraph"/>
              <w:numPr>
                <w:ilvl w:val="0"/>
                <w:numId w:val="57"/>
              </w:numPr>
              <w:autoSpaceDE w:val="0"/>
              <w:autoSpaceDN w:val="0"/>
              <w:adjustRightInd w:val="0"/>
              <w:ind w:left="694"/>
              <w:rPr>
                <w:color w:val="1F161F"/>
                <w:w w:val="110"/>
                <w:sz w:val="21"/>
                <w:szCs w:val="21"/>
              </w:rPr>
            </w:pPr>
            <w:r>
              <w:rPr>
                <w:color w:val="1F161F"/>
                <w:w w:val="110"/>
                <w:sz w:val="21"/>
                <w:szCs w:val="21"/>
              </w:rPr>
              <w:t>The loan amount requested is $3 million OR the borrower has an aggregate of $5 million in loans</w:t>
            </w:r>
            <w:r w:rsidR="00CD73F8">
              <w:rPr>
                <w:color w:val="1F161F"/>
                <w:w w:val="110"/>
                <w:sz w:val="21"/>
                <w:szCs w:val="21"/>
              </w:rPr>
              <w:t xml:space="preserve"> at </w:t>
            </w:r>
            <w:r w:rsidR="002D1DA1">
              <w:rPr>
                <w:color w:val="1F161F"/>
                <w:w w:val="110"/>
                <w:sz w:val="21"/>
                <w:szCs w:val="21"/>
              </w:rPr>
              <w:t>Axos Bank</w:t>
            </w:r>
            <w:r w:rsidR="00723004">
              <w:rPr>
                <w:color w:val="1F161F"/>
                <w:w w:val="110"/>
                <w:sz w:val="21"/>
                <w:szCs w:val="21"/>
              </w:rPr>
              <w:t>.</w:t>
            </w:r>
          </w:p>
          <w:p w14:paraId="74D464BA" w14:textId="77777777" w:rsidR="00026A1B" w:rsidRDefault="00026A1B">
            <w:pPr>
              <w:autoSpaceDE w:val="0"/>
              <w:autoSpaceDN w:val="0"/>
              <w:adjustRightInd w:val="0"/>
              <w:rPr>
                <w:color w:val="1F161F"/>
                <w:w w:val="110"/>
                <w:sz w:val="21"/>
                <w:szCs w:val="21"/>
              </w:rPr>
            </w:pPr>
          </w:p>
          <w:p w14:paraId="132922B1" w14:textId="77777777" w:rsidR="00026A1B" w:rsidRPr="00EC0B05" w:rsidRDefault="00026A1B">
            <w:pPr>
              <w:contextualSpacing/>
              <w:rPr>
                <w:sz w:val="21"/>
                <w:szCs w:val="21"/>
              </w:rPr>
            </w:pPr>
            <w:r>
              <w:rPr>
                <w:color w:val="1F161F"/>
                <w:w w:val="110"/>
                <w:sz w:val="21"/>
                <w:szCs w:val="21"/>
              </w:rPr>
              <w:t>Loans that have been designated IORR will be subject to additional, annual post-funding reporting requirements (e.g. rent rolls, balance sheet/P&amp;Ls, tax returns, etc.)</w:t>
            </w:r>
          </w:p>
        </w:tc>
      </w:tr>
      <w:tr w:rsidR="00EC0B05" w:rsidRPr="00EC0B05" w14:paraId="5D6A4455" w14:textId="77777777" w:rsidTr="0063752F">
        <w:tc>
          <w:tcPr>
            <w:tcW w:w="1336" w:type="pct"/>
          </w:tcPr>
          <w:p w14:paraId="146DF223" w14:textId="77777777" w:rsidR="000016AE" w:rsidRPr="00EC0B05" w:rsidRDefault="000016AE" w:rsidP="00471F7C">
            <w:pPr>
              <w:rPr>
                <w:b/>
                <w:w w:val="110"/>
                <w:sz w:val="21"/>
                <w:szCs w:val="21"/>
              </w:rPr>
            </w:pPr>
            <w:bookmarkStart w:id="55" w:name="IRA_distr"/>
            <w:r w:rsidRPr="00EC0B05">
              <w:rPr>
                <w:b/>
                <w:w w:val="110"/>
                <w:sz w:val="21"/>
                <w:szCs w:val="21"/>
              </w:rPr>
              <w:t xml:space="preserve">IRA </w:t>
            </w:r>
            <w:r w:rsidR="00026A1B">
              <w:rPr>
                <w:b/>
                <w:w w:val="110"/>
                <w:sz w:val="21"/>
                <w:szCs w:val="21"/>
              </w:rPr>
              <w:t xml:space="preserve">and Annuity </w:t>
            </w:r>
            <w:r w:rsidRPr="00EC0B05">
              <w:rPr>
                <w:b/>
                <w:w w:val="110"/>
                <w:sz w:val="21"/>
                <w:szCs w:val="21"/>
              </w:rPr>
              <w:t>Distributions</w:t>
            </w:r>
            <w:bookmarkEnd w:id="55"/>
          </w:p>
        </w:tc>
        <w:tc>
          <w:tcPr>
            <w:tcW w:w="3664" w:type="pct"/>
          </w:tcPr>
          <w:p w14:paraId="58EEEA20" w14:textId="69D05CC3" w:rsidR="000016AE" w:rsidRPr="00EC0B05" w:rsidRDefault="000016AE">
            <w:pPr>
              <w:autoSpaceDE w:val="0"/>
              <w:autoSpaceDN w:val="0"/>
              <w:adjustRightInd w:val="0"/>
              <w:contextualSpacing/>
              <w:rPr>
                <w:w w:val="110"/>
                <w:sz w:val="21"/>
                <w:szCs w:val="21"/>
              </w:rPr>
            </w:pPr>
            <w:r w:rsidRPr="00EC0B05">
              <w:rPr>
                <w:w w:val="110"/>
                <w:sz w:val="21"/>
                <w:szCs w:val="21"/>
              </w:rPr>
              <w:t xml:space="preserve">IRA distributions are eligible for qualifying, if a copy of the most recent 1099 </w:t>
            </w:r>
            <w:r w:rsidR="00026A1B">
              <w:rPr>
                <w:w w:val="110"/>
                <w:sz w:val="21"/>
                <w:szCs w:val="21"/>
              </w:rPr>
              <w:t xml:space="preserve">or tax returns </w:t>
            </w:r>
            <w:r w:rsidR="00D32A65">
              <w:rPr>
                <w:w w:val="110"/>
                <w:sz w:val="21"/>
                <w:szCs w:val="21"/>
              </w:rPr>
              <w:t xml:space="preserve">are </w:t>
            </w:r>
            <w:r w:rsidR="00D32A65" w:rsidRPr="00EC0B05">
              <w:rPr>
                <w:w w:val="110"/>
                <w:sz w:val="21"/>
                <w:szCs w:val="21"/>
              </w:rPr>
              <w:t>obtained</w:t>
            </w:r>
            <w:r w:rsidRPr="00EC0B05">
              <w:rPr>
                <w:w w:val="110"/>
                <w:sz w:val="21"/>
                <w:szCs w:val="21"/>
              </w:rPr>
              <w:t xml:space="preserve"> and verification that the borrower has sufficient funds in the IRA </w:t>
            </w:r>
            <w:r w:rsidR="00026A1B">
              <w:rPr>
                <w:w w:val="110"/>
                <w:sz w:val="21"/>
                <w:szCs w:val="21"/>
              </w:rPr>
              <w:t xml:space="preserve">or Annuity account </w:t>
            </w:r>
            <w:r w:rsidRPr="00EC0B05">
              <w:rPr>
                <w:w w:val="110"/>
                <w:sz w:val="21"/>
                <w:szCs w:val="21"/>
              </w:rPr>
              <w:t xml:space="preserve">to continue the income distributions for at least three years.  </w:t>
            </w:r>
          </w:p>
          <w:p w14:paraId="6098BD6B" w14:textId="021D24C9" w:rsidR="000016AE" w:rsidRDefault="000016AE" w:rsidP="00A8756A">
            <w:pPr>
              <w:pStyle w:val="ListParagraph"/>
              <w:numPr>
                <w:ilvl w:val="0"/>
                <w:numId w:val="58"/>
              </w:numPr>
              <w:autoSpaceDE w:val="0"/>
              <w:autoSpaceDN w:val="0"/>
              <w:adjustRightInd w:val="0"/>
              <w:rPr>
                <w:w w:val="110"/>
                <w:sz w:val="21"/>
                <w:szCs w:val="21"/>
              </w:rPr>
            </w:pPr>
            <w:r w:rsidRPr="00026A1B">
              <w:rPr>
                <w:w w:val="110"/>
                <w:sz w:val="21"/>
                <w:szCs w:val="21"/>
              </w:rPr>
              <w:t xml:space="preserve">For new or increased IRA </w:t>
            </w:r>
            <w:r w:rsidR="00026A1B">
              <w:rPr>
                <w:w w:val="110"/>
                <w:sz w:val="21"/>
                <w:szCs w:val="21"/>
              </w:rPr>
              <w:t xml:space="preserve">or Annuity </w:t>
            </w:r>
            <w:r w:rsidRPr="00026A1B">
              <w:rPr>
                <w:w w:val="110"/>
                <w:sz w:val="21"/>
                <w:szCs w:val="21"/>
              </w:rPr>
              <w:t>distributions</w:t>
            </w:r>
            <w:r w:rsidR="00026A1B">
              <w:rPr>
                <w:w w:val="110"/>
                <w:sz w:val="21"/>
                <w:szCs w:val="21"/>
              </w:rPr>
              <w:t>,</w:t>
            </w:r>
            <w:r w:rsidRPr="00026A1B">
              <w:rPr>
                <w:w w:val="110"/>
                <w:sz w:val="21"/>
                <w:szCs w:val="21"/>
              </w:rPr>
              <w:t xml:space="preserve"> it must be documented that sufficient assets are available using an increased distribution amount and that a revised or new distribution documentation is received from the advisor or depository. </w:t>
            </w:r>
          </w:p>
          <w:p w14:paraId="5CB31645" w14:textId="77777777" w:rsidR="00026A1B" w:rsidRPr="00026A1B" w:rsidRDefault="00026A1B">
            <w:pPr>
              <w:autoSpaceDE w:val="0"/>
              <w:autoSpaceDN w:val="0"/>
              <w:adjustRightInd w:val="0"/>
              <w:rPr>
                <w:w w:val="110"/>
                <w:sz w:val="21"/>
                <w:szCs w:val="21"/>
              </w:rPr>
            </w:pPr>
            <w:r>
              <w:rPr>
                <w:w w:val="110"/>
                <w:sz w:val="21"/>
                <w:szCs w:val="21"/>
              </w:rPr>
              <w:t xml:space="preserve">NOTE: </w:t>
            </w:r>
            <w:r w:rsidRPr="00EC0B05">
              <w:rPr>
                <w:w w:val="110"/>
                <w:sz w:val="21"/>
                <w:szCs w:val="21"/>
              </w:rPr>
              <w:t>IRA distributions are only eligible for borrowers over 59 ½ years of age.</w:t>
            </w:r>
          </w:p>
        </w:tc>
      </w:tr>
      <w:tr w:rsidR="00EC0B05" w:rsidRPr="00EC0B05" w14:paraId="565F001F" w14:textId="77777777" w:rsidTr="0063752F">
        <w:tc>
          <w:tcPr>
            <w:tcW w:w="1336" w:type="pct"/>
          </w:tcPr>
          <w:p w14:paraId="50CC66F7" w14:textId="77777777" w:rsidR="000016AE" w:rsidRPr="00EC0B05" w:rsidRDefault="000016AE" w:rsidP="00471F7C">
            <w:pPr>
              <w:rPr>
                <w:b/>
                <w:sz w:val="21"/>
                <w:szCs w:val="21"/>
              </w:rPr>
            </w:pPr>
            <w:bookmarkStart w:id="56" w:name="IRS_4506T"/>
            <w:r w:rsidRPr="00EC0B05">
              <w:rPr>
                <w:b/>
                <w:sz w:val="21"/>
                <w:szCs w:val="21"/>
              </w:rPr>
              <w:t>IRS 4506T</w:t>
            </w:r>
            <w:bookmarkEnd w:id="56"/>
          </w:p>
        </w:tc>
        <w:tc>
          <w:tcPr>
            <w:tcW w:w="3664" w:type="pct"/>
          </w:tcPr>
          <w:p w14:paraId="4C96F5C2" w14:textId="2C4B5226" w:rsidR="000016AE" w:rsidRPr="00EC0B05" w:rsidRDefault="000016AE">
            <w:pPr>
              <w:contextualSpacing/>
              <w:rPr>
                <w:w w:val="110"/>
                <w:sz w:val="21"/>
                <w:szCs w:val="21"/>
              </w:rPr>
            </w:pPr>
            <w:r w:rsidRPr="00EC0B05">
              <w:rPr>
                <w:w w:val="110"/>
                <w:sz w:val="21"/>
                <w:szCs w:val="21"/>
              </w:rPr>
              <w:t>A signed IRS form 4506-T and Borrower's Certification and Authorization w</w:t>
            </w:r>
            <w:r w:rsidR="00EE0499">
              <w:rPr>
                <w:w w:val="110"/>
                <w:sz w:val="21"/>
                <w:szCs w:val="21"/>
              </w:rPr>
              <w:t xml:space="preserve">ill be required for all loans. </w:t>
            </w:r>
            <w:r w:rsidRPr="00EC0B05">
              <w:rPr>
                <w:w w:val="110"/>
                <w:sz w:val="21"/>
                <w:szCs w:val="21"/>
              </w:rPr>
              <w:t xml:space="preserve">The 4506-T will be utilized to request tax transcripts.  </w:t>
            </w:r>
          </w:p>
        </w:tc>
      </w:tr>
      <w:tr w:rsidR="00EC0B05" w:rsidRPr="00EC0B05" w14:paraId="5104C913" w14:textId="77777777" w:rsidTr="0063752F">
        <w:tc>
          <w:tcPr>
            <w:tcW w:w="1336" w:type="pct"/>
          </w:tcPr>
          <w:p w14:paraId="15948DA4" w14:textId="77777777" w:rsidR="000016AE" w:rsidRPr="00EC0B05" w:rsidRDefault="000016AE" w:rsidP="00471F7C">
            <w:pPr>
              <w:rPr>
                <w:b/>
                <w:sz w:val="21"/>
                <w:szCs w:val="21"/>
              </w:rPr>
            </w:pPr>
            <w:bookmarkStart w:id="57" w:name="lease_pmts"/>
            <w:r w:rsidRPr="00EC0B05">
              <w:rPr>
                <w:b/>
                <w:sz w:val="21"/>
                <w:szCs w:val="21"/>
              </w:rPr>
              <w:t>Lease Payments</w:t>
            </w:r>
            <w:bookmarkEnd w:id="57"/>
          </w:p>
        </w:tc>
        <w:tc>
          <w:tcPr>
            <w:tcW w:w="3664" w:type="pct"/>
          </w:tcPr>
          <w:p w14:paraId="7F0A8106" w14:textId="2CB807B9" w:rsidR="000016AE" w:rsidRPr="00EC0B05" w:rsidRDefault="000016AE">
            <w:pPr>
              <w:tabs>
                <w:tab w:val="left" w:pos="2610"/>
                <w:tab w:val="left" w:pos="2790"/>
              </w:tabs>
              <w:contextualSpacing/>
              <w:rPr>
                <w:w w:val="110"/>
                <w:sz w:val="21"/>
                <w:szCs w:val="21"/>
              </w:rPr>
            </w:pPr>
            <w:r w:rsidRPr="00EC0B05">
              <w:rPr>
                <w:w w:val="110"/>
                <w:sz w:val="21"/>
                <w:szCs w:val="21"/>
              </w:rPr>
              <w:t xml:space="preserve">Lease payments must be considered as recurring monthly debt obligations regardless of the number of </w:t>
            </w:r>
            <w:r w:rsidR="00EE0499">
              <w:rPr>
                <w:w w:val="110"/>
                <w:sz w:val="21"/>
                <w:szCs w:val="21"/>
              </w:rPr>
              <w:t xml:space="preserve">months remaining on the lease. </w:t>
            </w:r>
            <w:r w:rsidRPr="00EC0B05">
              <w:rPr>
                <w:w w:val="110"/>
                <w:sz w:val="21"/>
                <w:szCs w:val="21"/>
              </w:rPr>
              <w:t>Automobile leases should be considered a recurring obligation regardless of payments remaining unless the applicant can demonstrate cash assets to purchase or buy out the lease or eliminate use of the automobile.</w:t>
            </w:r>
          </w:p>
        </w:tc>
      </w:tr>
      <w:tr w:rsidR="00EC0B05" w:rsidRPr="00EC0B05" w14:paraId="2AF9F68B" w14:textId="77777777" w:rsidTr="0063752F">
        <w:tc>
          <w:tcPr>
            <w:tcW w:w="1336" w:type="pct"/>
          </w:tcPr>
          <w:p w14:paraId="3FA2CE85" w14:textId="77777777" w:rsidR="000016AE" w:rsidRPr="00EC0B05" w:rsidRDefault="000016AE" w:rsidP="00471F7C">
            <w:pPr>
              <w:rPr>
                <w:b/>
                <w:sz w:val="21"/>
                <w:szCs w:val="21"/>
              </w:rPr>
            </w:pPr>
            <w:bookmarkStart w:id="58" w:name="leaseholds"/>
            <w:r w:rsidRPr="00EC0B05">
              <w:rPr>
                <w:b/>
                <w:sz w:val="21"/>
                <w:szCs w:val="21"/>
              </w:rPr>
              <w:t>Leaseholds</w:t>
            </w:r>
            <w:bookmarkEnd w:id="58"/>
          </w:p>
        </w:tc>
        <w:tc>
          <w:tcPr>
            <w:tcW w:w="3664" w:type="pct"/>
          </w:tcPr>
          <w:p w14:paraId="63D99E61" w14:textId="1C4C127E" w:rsidR="000016AE" w:rsidRPr="00EC0B05" w:rsidRDefault="00D16D2E" w:rsidP="00471F7C">
            <w:pPr>
              <w:autoSpaceDE w:val="0"/>
              <w:autoSpaceDN w:val="0"/>
              <w:adjustRightInd w:val="0"/>
              <w:contextualSpacing/>
              <w:rPr>
                <w:w w:val="110"/>
                <w:sz w:val="21"/>
                <w:szCs w:val="21"/>
              </w:rPr>
            </w:pPr>
            <w:r>
              <w:rPr>
                <w:w w:val="110"/>
                <w:sz w:val="21"/>
                <w:szCs w:val="21"/>
              </w:rPr>
              <w:t>Leaseholds will be considered on a case-by-case basis, as approved by Credit Management. Generally:</w:t>
            </w:r>
          </w:p>
          <w:p w14:paraId="2E9DD5D1" w14:textId="77777777" w:rsidR="000016AE" w:rsidRPr="00EC0B05" w:rsidRDefault="000016AE" w:rsidP="00A8756A">
            <w:pPr>
              <w:pStyle w:val="ListParagraph"/>
              <w:numPr>
                <w:ilvl w:val="0"/>
                <w:numId w:val="37"/>
              </w:numPr>
              <w:tabs>
                <w:tab w:val="left" w:pos="2160"/>
                <w:tab w:val="left" w:pos="5400"/>
                <w:tab w:val="left" w:pos="5670"/>
              </w:tabs>
              <w:autoSpaceDE w:val="0"/>
              <w:autoSpaceDN w:val="0"/>
              <w:adjustRightInd w:val="0"/>
              <w:rPr>
                <w:w w:val="110"/>
                <w:sz w:val="21"/>
                <w:szCs w:val="21"/>
              </w:rPr>
            </w:pPr>
            <w:r w:rsidRPr="00EC0B05">
              <w:rPr>
                <w:w w:val="110"/>
                <w:sz w:val="21"/>
                <w:szCs w:val="21"/>
              </w:rPr>
              <w:t>The leasehold estate and improvements must constitute real property subject to a mortgage lien and insured by a title policy.</w:t>
            </w:r>
          </w:p>
          <w:p w14:paraId="11D982FE" w14:textId="2D6E2CD0" w:rsidR="000016AE" w:rsidRPr="005521B9" w:rsidRDefault="000016AE" w:rsidP="00A8756A">
            <w:pPr>
              <w:pStyle w:val="ListParagraph"/>
              <w:numPr>
                <w:ilvl w:val="0"/>
                <w:numId w:val="37"/>
              </w:numPr>
              <w:tabs>
                <w:tab w:val="left" w:pos="2160"/>
                <w:tab w:val="left" w:pos="5400"/>
                <w:tab w:val="left" w:pos="5670"/>
              </w:tabs>
              <w:autoSpaceDE w:val="0"/>
              <w:autoSpaceDN w:val="0"/>
              <w:adjustRightInd w:val="0"/>
              <w:rPr>
                <w:w w:val="110"/>
                <w:sz w:val="21"/>
                <w:szCs w:val="21"/>
              </w:rPr>
            </w:pPr>
            <w:r w:rsidRPr="00EC0B05">
              <w:rPr>
                <w:w w:val="110"/>
                <w:sz w:val="21"/>
                <w:szCs w:val="21"/>
              </w:rPr>
              <w:t>The lease must be valid and in full force and effect.</w:t>
            </w:r>
          </w:p>
          <w:p w14:paraId="60830B89" w14:textId="77777777" w:rsidR="000016AE" w:rsidRPr="00331081" w:rsidRDefault="000016AE" w:rsidP="00A8756A">
            <w:pPr>
              <w:pStyle w:val="ListParagraph"/>
              <w:numPr>
                <w:ilvl w:val="0"/>
                <w:numId w:val="37"/>
              </w:numPr>
              <w:tabs>
                <w:tab w:val="left" w:pos="2160"/>
                <w:tab w:val="left" w:pos="5400"/>
                <w:tab w:val="left" w:pos="5670"/>
              </w:tabs>
              <w:autoSpaceDE w:val="0"/>
              <w:autoSpaceDN w:val="0"/>
              <w:adjustRightInd w:val="0"/>
              <w:rPr>
                <w:w w:val="110"/>
                <w:sz w:val="21"/>
                <w:szCs w:val="21"/>
              </w:rPr>
            </w:pPr>
            <w:r w:rsidRPr="00EC0B05">
              <w:rPr>
                <w:w w:val="110"/>
                <w:sz w:val="21"/>
                <w:szCs w:val="21"/>
              </w:rPr>
              <w:lastRenderedPageBreak/>
              <w:t>All ground rent payments, other payments or assessments must be current and the borrower must not be in default under any other provision of the lease, nor may the ground rent owner have claimed such a default.</w:t>
            </w:r>
          </w:p>
          <w:p w14:paraId="1E5E68A1" w14:textId="77777777" w:rsidR="000016AE" w:rsidRPr="00331081" w:rsidRDefault="000016AE" w:rsidP="00A8756A">
            <w:pPr>
              <w:pStyle w:val="ListParagraph"/>
              <w:numPr>
                <w:ilvl w:val="0"/>
                <w:numId w:val="37"/>
              </w:numPr>
              <w:tabs>
                <w:tab w:val="left" w:pos="2160"/>
                <w:tab w:val="left" w:pos="5400"/>
                <w:tab w:val="left" w:pos="5670"/>
              </w:tabs>
              <w:autoSpaceDE w:val="0"/>
              <w:autoSpaceDN w:val="0"/>
              <w:adjustRightInd w:val="0"/>
              <w:rPr>
                <w:w w:val="110"/>
                <w:sz w:val="21"/>
                <w:szCs w:val="21"/>
              </w:rPr>
            </w:pPr>
            <w:r w:rsidRPr="00EC0B05">
              <w:rPr>
                <w:w w:val="110"/>
                <w:sz w:val="21"/>
                <w:szCs w:val="21"/>
              </w:rPr>
              <w:t>The lease should guarantee the lender the right to receive at least 30 days' notice of default by the borrower and the option to cure the default or take over the borrower's rights.</w:t>
            </w:r>
          </w:p>
          <w:p w14:paraId="26E0A482" w14:textId="77777777" w:rsidR="000016AE" w:rsidRPr="00331081" w:rsidRDefault="000016AE" w:rsidP="00A8756A">
            <w:pPr>
              <w:pStyle w:val="ListParagraph"/>
              <w:numPr>
                <w:ilvl w:val="0"/>
                <w:numId w:val="37"/>
              </w:numPr>
              <w:tabs>
                <w:tab w:val="left" w:pos="2160"/>
                <w:tab w:val="left" w:pos="5400"/>
                <w:tab w:val="left" w:pos="5670"/>
              </w:tabs>
              <w:autoSpaceDE w:val="0"/>
              <w:autoSpaceDN w:val="0"/>
              <w:adjustRightInd w:val="0"/>
              <w:rPr>
                <w:w w:val="110"/>
                <w:sz w:val="21"/>
                <w:szCs w:val="21"/>
              </w:rPr>
            </w:pPr>
            <w:r w:rsidRPr="00EC0B05">
              <w:rPr>
                <w:w w:val="110"/>
                <w:sz w:val="21"/>
                <w:szCs w:val="21"/>
              </w:rPr>
              <w:t>The lease should include provisions to protect the lender's interest in the event of a property condemnation.</w:t>
            </w:r>
          </w:p>
          <w:p w14:paraId="1313D5AA" w14:textId="77777777" w:rsidR="000016AE" w:rsidRPr="00331081" w:rsidRDefault="000016AE" w:rsidP="00A8756A">
            <w:pPr>
              <w:pStyle w:val="ListParagraph"/>
              <w:numPr>
                <w:ilvl w:val="0"/>
                <w:numId w:val="37"/>
              </w:numPr>
              <w:tabs>
                <w:tab w:val="left" w:pos="2160"/>
                <w:tab w:val="left" w:pos="5400"/>
                <w:tab w:val="left" w:pos="5670"/>
              </w:tabs>
              <w:autoSpaceDE w:val="0"/>
              <w:autoSpaceDN w:val="0"/>
              <w:adjustRightInd w:val="0"/>
              <w:rPr>
                <w:w w:val="110"/>
                <w:sz w:val="21"/>
                <w:szCs w:val="21"/>
              </w:rPr>
            </w:pPr>
            <w:r w:rsidRPr="00EC0B05">
              <w:rPr>
                <w:w w:val="110"/>
                <w:sz w:val="21"/>
                <w:szCs w:val="21"/>
              </w:rPr>
              <w:t>The lease should provide that the leasehold can be transferred, mortgaged and sublet an unlimited number of times without restriction or upon payment of a reasonable fee and delivery of documentation to the lessor. The lessor may not require credit qualification on any assignee or sub-lessee.</w:t>
            </w:r>
          </w:p>
          <w:p w14:paraId="7AF88457" w14:textId="77777777" w:rsidR="000016AE" w:rsidRPr="00EC0B05" w:rsidRDefault="000016AE" w:rsidP="00A8756A">
            <w:pPr>
              <w:pStyle w:val="ListParagraph"/>
              <w:numPr>
                <w:ilvl w:val="0"/>
                <w:numId w:val="37"/>
              </w:numPr>
              <w:tabs>
                <w:tab w:val="left" w:pos="2160"/>
                <w:tab w:val="left" w:pos="5400"/>
                <w:tab w:val="left" w:pos="5670"/>
              </w:tabs>
              <w:autoSpaceDE w:val="0"/>
              <w:autoSpaceDN w:val="0"/>
              <w:adjustRightInd w:val="0"/>
              <w:rPr>
                <w:b/>
                <w:sz w:val="21"/>
                <w:szCs w:val="21"/>
              </w:rPr>
            </w:pPr>
            <w:r w:rsidRPr="00EC0B05">
              <w:rPr>
                <w:w w:val="110"/>
                <w:sz w:val="21"/>
                <w:szCs w:val="21"/>
              </w:rPr>
              <w:t>The estate term should run through at least the term of the mortgage maturity unless fee simple title will vest at an earlier date in the borrower or a HOA and should be assignable or transferable.  In cases where the term of the lease does not extend beyond the term of the loan, the borrower must have the ability to purchase the fee interest at the expiration of the lease.</w:t>
            </w:r>
            <w:r w:rsidRPr="00EC0B05">
              <w:rPr>
                <w:sz w:val="21"/>
                <w:szCs w:val="21"/>
              </w:rPr>
              <w:t xml:space="preserve">  </w:t>
            </w:r>
          </w:p>
        </w:tc>
      </w:tr>
      <w:tr w:rsidR="00EC0B05" w:rsidRPr="00EC0B05" w14:paraId="6D644674" w14:textId="77777777" w:rsidTr="0063752F">
        <w:tc>
          <w:tcPr>
            <w:tcW w:w="1336" w:type="pct"/>
          </w:tcPr>
          <w:p w14:paraId="5273EC91" w14:textId="77777777" w:rsidR="000016AE" w:rsidRPr="00EC0B05" w:rsidRDefault="000016AE" w:rsidP="00471F7C">
            <w:pPr>
              <w:rPr>
                <w:b/>
                <w:sz w:val="21"/>
                <w:szCs w:val="21"/>
              </w:rPr>
            </w:pPr>
            <w:bookmarkStart w:id="59" w:name="life_ins_cash"/>
            <w:r w:rsidRPr="00EC0B05">
              <w:rPr>
                <w:b/>
                <w:sz w:val="21"/>
                <w:szCs w:val="21"/>
              </w:rPr>
              <w:lastRenderedPageBreak/>
              <w:t>Life Insurance Cash Value</w:t>
            </w:r>
            <w:bookmarkEnd w:id="59"/>
          </w:p>
        </w:tc>
        <w:tc>
          <w:tcPr>
            <w:tcW w:w="3664" w:type="pct"/>
          </w:tcPr>
          <w:p w14:paraId="444747C0" w14:textId="77777777" w:rsidR="000016AE" w:rsidRPr="00EC0B05" w:rsidRDefault="000016AE" w:rsidP="00471F7C">
            <w:pPr>
              <w:pStyle w:val="BodyText"/>
              <w:kinsoku w:val="0"/>
              <w:overflowPunct w:val="0"/>
              <w:ind w:right="486"/>
              <w:jc w:val="both"/>
              <w:rPr>
                <w:rFonts w:asciiTheme="minorHAnsi" w:eastAsiaTheme="minorHAnsi" w:hAnsiTheme="minorHAnsi" w:cstheme="minorBidi"/>
                <w:w w:val="105"/>
              </w:rPr>
            </w:pPr>
            <w:r w:rsidRPr="00EC0B05">
              <w:rPr>
                <w:rFonts w:asciiTheme="minorHAnsi" w:eastAsiaTheme="minorHAnsi" w:hAnsiTheme="minorHAnsi" w:cstheme="minorBidi"/>
                <w:w w:val="105"/>
              </w:rPr>
              <w:t>Net proceeds from a loan against the cash value or from the surrender of a life insurance policy are acceptable sources of funds for the down payment, closing costs, and reserves.</w:t>
            </w:r>
          </w:p>
          <w:p w14:paraId="7D9858C1" w14:textId="77777777" w:rsidR="000016AE" w:rsidRPr="00EC0B05" w:rsidRDefault="000016AE" w:rsidP="00471F7C">
            <w:pPr>
              <w:pStyle w:val="BodyText"/>
              <w:kinsoku w:val="0"/>
              <w:overflowPunct w:val="0"/>
              <w:spacing w:before="2"/>
              <w:rPr>
                <w:rFonts w:asciiTheme="minorHAnsi" w:eastAsiaTheme="minorHAnsi" w:hAnsiTheme="minorHAnsi" w:cstheme="minorBidi"/>
                <w:w w:val="105"/>
              </w:rPr>
            </w:pPr>
          </w:p>
          <w:p w14:paraId="5891D34E" w14:textId="77777777" w:rsidR="000016AE" w:rsidRPr="00EC0B05" w:rsidRDefault="000016AE">
            <w:pPr>
              <w:widowControl w:val="0"/>
              <w:ind w:right="296"/>
              <w:contextualSpacing/>
              <w:rPr>
                <w:w w:val="110"/>
                <w:sz w:val="21"/>
                <w:szCs w:val="21"/>
              </w:rPr>
            </w:pPr>
            <w:r w:rsidRPr="00EC0B05">
              <w:rPr>
                <w:w w:val="105"/>
                <w:sz w:val="21"/>
                <w:szCs w:val="21"/>
              </w:rPr>
              <w:t>If the funds are required for the down payment or closing costs, the borrower’s receipt of the funds from the insurance company must be documented by obtaining either a copy of the check or a copy of the payout statement from the insurer.  If the cash-value of the life insurance is being utilized for reserves, the cash-value must be documented but does not need to be liquidated and received by the borrower.</w:t>
            </w:r>
          </w:p>
        </w:tc>
      </w:tr>
      <w:tr w:rsidR="00EC0B05" w:rsidRPr="00EC0B05" w14:paraId="33AC1E29" w14:textId="77777777" w:rsidTr="0063752F">
        <w:tc>
          <w:tcPr>
            <w:tcW w:w="1336" w:type="pct"/>
          </w:tcPr>
          <w:p w14:paraId="3AEFB84B" w14:textId="77777777" w:rsidR="000016AE" w:rsidRPr="00EC0B05" w:rsidRDefault="000016AE" w:rsidP="00471F7C">
            <w:pPr>
              <w:tabs>
                <w:tab w:val="center" w:pos="5287"/>
                <w:tab w:val="left" w:pos="6870"/>
              </w:tabs>
              <w:rPr>
                <w:b/>
                <w:sz w:val="21"/>
                <w:szCs w:val="21"/>
              </w:rPr>
            </w:pPr>
            <w:bookmarkStart w:id="60" w:name="liq_assets"/>
            <w:r w:rsidRPr="00EC0B05">
              <w:rPr>
                <w:b/>
                <w:sz w:val="21"/>
                <w:szCs w:val="21"/>
              </w:rPr>
              <w:t xml:space="preserve">Liquid Assets </w:t>
            </w:r>
            <w:bookmarkEnd w:id="60"/>
          </w:p>
        </w:tc>
        <w:tc>
          <w:tcPr>
            <w:tcW w:w="3664" w:type="pct"/>
          </w:tcPr>
          <w:p w14:paraId="197DDB4F" w14:textId="77777777" w:rsidR="000016AE" w:rsidRPr="00EC0B05" w:rsidRDefault="000016AE" w:rsidP="00471F7C">
            <w:pPr>
              <w:widowControl w:val="0"/>
              <w:rPr>
                <w:rFonts w:eastAsia="Times New Roman" w:cs="Times New Roman"/>
                <w:b/>
                <w:sz w:val="21"/>
                <w:szCs w:val="21"/>
              </w:rPr>
            </w:pPr>
            <w:r w:rsidRPr="00EC0B05">
              <w:rPr>
                <w:rFonts w:eastAsia="Times New Roman" w:cs="Times New Roman"/>
                <w:b/>
                <w:sz w:val="21"/>
                <w:szCs w:val="21"/>
              </w:rPr>
              <w:t>Acceptable source of down payment, closing costs and reserves sources include:</w:t>
            </w:r>
          </w:p>
          <w:p w14:paraId="0C5312CF" w14:textId="77777777" w:rsidR="000016AE" w:rsidRPr="00EC0B05" w:rsidRDefault="000016AE" w:rsidP="00471F7C">
            <w:pPr>
              <w:widowControl w:val="0"/>
              <w:numPr>
                <w:ilvl w:val="0"/>
                <w:numId w:val="1"/>
              </w:numPr>
              <w:ind w:left="702"/>
              <w:rPr>
                <w:rFonts w:eastAsia="Times New Roman" w:cs="Times New Roman"/>
                <w:sz w:val="21"/>
                <w:szCs w:val="21"/>
              </w:rPr>
            </w:pPr>
            <w:r w:rsidRPr="00EC0B05">
              <w:rPr>
                <w:rFonts w:eastAsia="Times New Roman" w:cs="Times New Roman"/>
                <w:sz w:val="21"/>
                <w:szCs w:val="21"/>
              </w:rPr>
              <w:t>Checking</w:t>
            </w:r>
            <w:r w:rsidRPr="00EC0B05">
              <w:rPr>
                <w:rFonts w:eastAsia="Times New Roman" w:cs="Times New Roman"/>
                <w:spacing w:val="-9"/>
                <w:sz w:val="21"/>
                <w:szCs w:val="21"/>
              </w:rPr>
              <w:t xml:space="preserve"> </w:t>
            </w:r>
            <w:r w:rsidRPr="00EC0B05">
              <w:rPr>
                <w:rFonts w:eastAsia="Times New Roman" w:cs="Times New Roman"/>
                <w:sz w:val="21"/>
                <w:szCs w:val="21"/>
              </w:rPr>
              <w:t>or</w:t>
            </w:r>
            <w:r w:rsidRPr="00EC0B05">
              <w:rPr>
                <w:rFonts w:eastAsia="Times New Roman" w:cs="Times New Roman"/>
                <w:spacing w:val="-8"/>
                <w:sz w:val="21"/>
                <w:szCs w:val="21"/>
              </w:rPr>
              <w:t xml:space="preserve"> </w:t>
            </w:r>
            <w:r w:rsidRPr="00EC0B05">
              <w:rPr>
                <w:rFonts w:eastAsia="Times New Roman" w:cs="Times New Roman"/>
                <w:sz w:val="21"/>
                <w:szCs w:val="21"/>
              </w:rPr>
              <w:t>savings</w:t>
            </w:r>
            <w:r w:rsidRPr="00EC0B05">
              <w:rPr>
                <w:rFonts w:eastAsia="Times New Roman" w:cs="Times New Roman"/>
                <w:spacing w:val="-8"/>
                <w:sz w:val="21"/>
                <w:szCs w:val="21"/>
              </w:rPr>
              <w:t xml:space="preserve"> </w:t>
            </w:r>
            <w:r w:rsidRPr="00EC0B05">
              <w:rPr>
                <w:rFonts w:eastAsia="Times New Roman" w:cs="Times New Roman"/>
                <w:sz w:val="21"/>
                <w:szCs w:val="21"/>
              </w:rPr>
              <w:t>accounts</w:t>
            </w:r>
          </w:p>
          <w:p w14:paraId="6A055003" w14:textId="77777777" w:rsidR="000016AE" w:rsidRPr="00EC0B05" w:rsidRDefault="000016AE" w:rsidP="00471F7C">
            <w:pPr>
              <w:widowControl w:val="0"/>
              <w:numPr>
                <w:ilvl w:val="0"/>
                <w:numId w:val="1"/>
              </w:numPr>
              <w:tabs>
                <w:tab w:val="left" w:pos="340"/>
              </w:tabs>
              <w:ind w:left="702" w:right="375"/>
              <w:rPr>
                <w:rFonts w:eastAsia="Times New Roman" w:cs="Times New Roman"/>
                <w:sz w:val="21"/>
                <w:szCs w:val="21"/>
              </w:rPr>
            </w:pPr>
            <w:r w:rsidRPr="00EC0B05">
              <w:rPr>
                <w:rFonts w:eastAsia="Times New Roman" w:cs="Times New Roman"/>
                <w:sz w:val="21"/>
                <w:szCs w:val="21"/>
              </w:rPr>
              <w:t>Investments</w:t>
            </w:r>
            <w:r w:rsidRPr="00EC0B05">
              <w:rPr>
                <w:rFonts w:eastAsia="Times New Roman" w:cs="Times New Roman"/>
                <w:spacing w:val="-6"/>
                <w:sz w:val="21"/>
                <w:szCs w:val="21"/>
              </w:rPr>
              <w:t xml:space="preserve"> </w:t>
            </w:r>
            <w:r w:rsidRPr="00EC0B05">
              <w:rPr>
                <w:rFonts w:eastAsia="Times New Roman" w:cs="Times New Roman"/>
                <w:sz w:val="21"/>
                <w:szCs w:val="21"/>
              </w:rPr>
              <w:t>in</w:t>
            </w:r>
            <w:r w:rsidRPr="00EC0B05">
              <w:rPr>
                <w:rFonts w:eastAsia="Times New Roman" w:cs="Times New Roman"/>
                <w:spacing w:val="-5"/>
                <w:sz w:val="21"/>
                <w:szCs w:val="21"/>
              </w:rPr>
              <w:t xml:space="preserve"> </w:t>
            </w:r>
            <w:r w:rsidRPr="00EC0B05">
              <w:rPr>
                <w:rFonts w:eastAsia="Times New Roman" w:cs="Times New Roman"/>
                <w:sz w:val="21"/>
                <w:szCs w:val="21"/>
              </w:rPr>
              <w:t>stocks,</w:t>
            </w:r>
            <w:r w:rsidRPr="00EC0B05">
              <w:rPr>
                <w:rFonts w:eastAsia="Times New Roman" w:cs="Times New Roman"/>
                <w:spacing w:val="-5"/>
                <w:sz w:val="21"/>
                <w:szCs w:val="21"/>
              </w:rPr>
              <w:t xml:space="preserve"> </w:t>
            </w:r>
            <w:r w:rsidRPr="00EC0B05">
              <w:rPr>
                <w:rFonts w:eastAsia="Times New Roman" w:cs="Times New Roman"/>
                <w:sz w:val="21"/>
                <w:szCs w:val="21"/>
              </w:rPr>
              <w:t>bonds,</w:t>
            </w:r>
            <w:r w:rsidRPr="00EC0B05">
              <w:rPr>
                <w:rFonts w:eastAsia="Times New Roman" w:cs="Times New Roman"/>
                <w:spacing w:val="-5"/>
                <w:sz w:val="21"/>
                <w:szCs w:val="21"/>
              </w:rPr>
              <w:t xml:space="preserve"> </w:t>
            </w:r>
            <w:r w:rsidRPr="00EC0B05">
              <w:rPr>
                <w:rFonts w:eastAsia="Times New Roman" w:cs="Times New Roman"/>
                <w:sz w:val="21"/>
                <w:szCs w:val="21"/>
              </w:rPr>
              <w:t>mutual</w:t>
            </w:r>
            <w:r w:rsidRPr="00EC0B05">
              <w:rPr>
                <w:rFonts w:eastAsia="Times New Roman" w:cs="Times New Roman"/>
                <w:spacing w:val="-5"/>
                <w:sz w:val="21"/>
                <w:szCs w:val="21"/>
              </w:rPr>
              <w:t xml:space="preserve"> </w:t>
            </w:r>
            <w:r w:rsidRPr="00EC0B05">
              <w:rPr>
                <w:rFonts w:eastAsia="Times New Roman" w:cs="Times New Roman"/>
                <w:sz w:val="21"/>
                <w:szCs w:val="21"/>
              </w:rPr>
              <w:t>funds,</w:t>
            </w:r>
            <w:r w:rsidRPr="00EC0B05">
              <w:rPr>
                <w:rFonts w:eastAsia="Times New Roman" w:cs="Times New Roman"/>
                <w:spacing w:val="-5"/>
                <w:sz w:val="21"/>
                <w:szCs w:val="21"/>
              </w:rPr>
              <w:t xml:space="preserve"> </w:t>
            </w:r>
            <w:r w:rsidRPr="00EC0B05">
              <w:rPr>
                <w:rFonts w:eastAsia="Times New Roman" w:cs="Times New Roman"/>
                <w:sz w:val="21"/>
                <w:szCs w:val="21"/>
              </w:rPr>
              <w:t>certificates</w:t>
            </w:r>
            <w:r w:rsidRPr="00EC0B05">
              <w:rPr>
                <w:rFonts w:eastAsia="Times New Roman" w:cs="Times New Roman"/>
                <w:spacing w:val="-5"/>
                <w:sz w:val="21"/>
                <w:szCs w:val="21"/>
              </w:rPr>
              <w:t xml:space="preserve"> </w:t>
            </w:r>
            <w:r w:rsidRPr="00EC0B05">
              <w:rPr>
                <w:rFonts w:eastAsia="Times New Roman" w:cs="Times New Roman"/>
                <w:sz w:val="21"/>
                <w:szCs w:val="21"/>
              </w:rPr>
              <w:t>of</w:t>
            </w:r>
            <w:r w:rsidRPr="00EC0B05">
              <w:rPr>
                <w:rFonts w:eastAsia="Times New Roman" w:cs="Times New Roman"/>
                <w:spacing w:val="-5"/>
                <w:sz w:val="21"/>
                <w:szCs w:val="21"/>
              </w:rPr>
              <w:t xml:space="preserve"> </w:t>
            </w:r>
            <w:r w:rsidRPr="00EC0B05">
              <w:rPr>
                <w:rFonts w:eastAsia="Times New Roman" w:cs="Times New Roman"/>
                <w:sz w:val="21"/>
                <w:szCs w:val="21"/>
              </w:rPr>
              <w:t>deposit,</w:t>
            </w:r>
            <w:r w:rsidRPr="00EC0B05">
              <w:rPr>
                <w:rFonts w:eastAsia="Times New Roman" w:cs="Times New Roman"/>
                <w:spacing w:val="-5"/>
                <w:sz w:val="21"/>
                <w:szCs w:val="21"/>
              </w:rPr>
              <w:t xml:space="preserve"> </w:t>
            </w:r>
            <w:r w:rsidRPr="00EC0B05">
              <w:rPr>
                <w:rFonts w:eastAsia="Times New Roman" w:cs="Times New Roman"/>
                <w:sz w:val="21"/>
                <w:szCs w:val="21"/>
              </w:rPr>
              <w:t>money</w:t>
            </w:r>
            <w:r w:rsidRPr="00EC0B05">
              <w:rPr>
                <w:rFonts w:eastAsia="Times New Roman" w:cs="Times New Roman"/>
                <w:spacing w:val="-6"/>
                <w:sz w:val="21"/>
                <w:szCs w:val="21"/>
              </w:rPr>
              <w:t xml:space="preserve"> </w:t>
            </w:r>
            <w:r w:rsidRPr="00EC0B05">
              <w:rPr>
                <w:rFonts w:eastAsia="Times New Roman" w:cs="Times New Roman"/>
                <w:sz w:val="21"/>
                <w:szCs w:val="21"/>
              </w:rPr>
              <w:t>market</w:t>
            </w:r>
            <w:r w:rsidRPr="00EC0B05">
              <w:rPr>
                <w:rFonts w:eastAsia="Times New Roman" w:cs="Times New Roman"/>
                <w:spacing w:val="-5"/>
                <w:sz w:val="21"/>
                <w:szCs w:val="21"/>
              </w:rPr>
              <w:t xml:space="preserve"> </w:t>
            </w:r>
            <w:r w:rsidRPr="00EC0B05">
              <w:rPr>
                <w:rFonts w:eastAsia="Times New Roman" w:cs="Times New Roman"/>
                <w:sz w:val="21"/>
                <w:szCs w:val="21"/>
              </w:rPr>
              <w:t>funds,</w:t>
            </w:r>
            <w:r w:rsidRPr="00EC0B05">
              <w:rPr>
                <w:rFonts w:eastAsia="Times New Roman" w:cs="Times New Roman"/>
                <w:spacing w:val="-5"/>
                <w:sz w:val="21"/>
                <w:szCs w:val="21"/>
              </w:rPr>
              <w:t xml:space="preserve"> </w:t>
            </w:r>
            <w:r w:rsidRPr="00EC0B05">
              <w:rPr>
                <w:rFonts w:eastAsia="Times New Roman" w:cs="Times New Roman"/>
                <w:sz w:val="21"/>
                <w:szCs w:val="21"/>
              </w:rPr>
              <w:t>and</w:t>
            </w:r>
            <w:r w:rsidRPr="00EC0B05">
              <w:rPr>
                <w:rFonts w:eastAsia="Times New Roman" w:cs="Times New Roman"/>
                <w:w w:val="99"/>
                <w:sz w:val="21"/>
                <w:szCs w:val="21"/>
              </w:rPr>
              <w:t xml:space="preserve"> </w:t>
            </w:r>
            <w:r w:rsidRPr="00EC0B05">
              <w:rPr>
                <w:rFonts w:eastAsia="Times New Roman" w:cs="Times New Roman"/>
                <w:sz w:val="21"/>
                <w:szCs w:val="21"/>
              </w:rPr>
              <w:t>trust</w:t>
            </w:r>
            <w:r w:rsidRPr="00EC0B05">
              <w:rPr>
                <w:rFonts w:eastAsia="Times New Roman" w:cs="Times New Roman"/>
                <w:spacing w:val="-14"/>
                <w:sz w:val="21"/>
                <w:szCs w:val="21"/>
              </w:rPr>
              <w:t xml:space="preserve"> </w:t>
            </w:r>
            <w:r w:rsidRPr="00EC0B05">
              <w:rPr>
                <w:rFonts w:eastAsia="Times New Roman" w:cs="Times New Roman"/>
                <w:sz w:val="21"/>
                <w:szCs w:val="21"/>
              </w:rPr>
              <w:t>accounts</w:t>
            </w:r>
          </w:p>
          <w:p w14:paraId="68DB617F" w14:textId="77777777" w:rsidR="000016AE" w:rsidRPr="00EC0B05" w:rsidRDefault="000016AE" w:rsidP="00471F7C">
            <w:pPr>
              <w:widowControl w:val="0"/>
              <w:numPr>
                <w:ilvl w:val="0"/>
                <w:numId w:val="1"/>
              </w:numPr>
              <w:tabs>
                <w:tab w:val="left" w:pos="340"/>
              </w:tabs>
              <w:ind w:left="702"/>
              <w:rPr>
                <w:rFonts w:eastAsia="Times New Roman" w:cs="Times New Roman"/>
                <w:sz w:val="21"/>
                <w:szCs w:val="21"/>
              </w:rPr>
            </w:pPr>
            <w:r w:rsidRPr="00EC0B05">
              <w:rPr>
                <w:rFonts w:eastAsia="Times New Roman" w:cs="Times New Roman"/>
                <w:sz w:val="21"/>
                <w:szCs w:val="21"/>
              </w:rPr>
              <w:t>The</w:t>
            </w:r>
            <w:r w:rsidRPr="00EC0B05">
              <w:rPr>
                <w:rFonts w:eastAsia="Times New Roman" w:cs="Times New Roman"/>
                <w:spacing w:val="-6"/>
                <w:sz w:val="21"/>
                <w:szCs w:val="21"/>
              </w:rPr>
              <w:t xml:space="preserve"> </w:t>
            </w:r>
            <w:r w:rsidRPr="00EC0B05">
              <w:rPr>
                <w:rFonts w:eastAsia="Times New Roman" w:cs="Times New Roman"/>
                <w:sz w:val="21"/>
                <w:szCs w:val="21"/>
              </w:rPr>
              <w:t>amount</w:t>
            </w:r>
            <w:r w:rsidRPr="00EC0B05">
              <w:rPr>
                <w:rFonts w:eastAsia="Times New Roman" w:cs="Times New Roman"/>
                <w:spacing w:val="-6"/>
                <w:sz w:val="21"/>
                <w:szCs w:val="21"/>
              </w:rPr>
              <w:t xml:space="preserve"> </w:t>
            </w:r>
            <w:r w:rsidRPr="00EC0B05">
              <w:rPr>
                <w:rFonts w:eastAsia="Times New Roman" w:cs="Times New Roman"/>
                <w:sz w:val="21"/>
                <w:szCs w:val="21"/>
              </w:rPr>
              <w:t>vested</w:t>
            </w:r>
            <w:r w:rsidRPr="00EC0B05">
              <w:rPr>
                <w:rFonts w:eastAsia="Times New Roman" w:cs="Times New Roman"/>
                <w:spacing w:val="-6"/>
                <w:sz w:val="21"/>
                <w:szCs w:val="21"/>
              </w:rPr>
              <w:t xml:space="preserve"> </w:t>
            </w:r>
            <w:r w:rsidRPr="00EC0B05">
              <w:rPr>
                <w:rFonts w:eastAsia="Times New Roman" w:cs="Times New Roman"/>
                <w:sz w:val="21"/>
                <w:szCs w:val="21"/>
              </w:rPr>
              <w:t>in</w:t>
            </w:r>
            <w:r w:rsidRPr="00EC0B05">
              <w:rPr>
                <w:rFonts w:eastAsia="Times New Roman" w:cs="Times New Roman"/>
                <w:spacing w:val="-6"/>
                <w:sz w:val="21"/>
                <w:szCs w:val="21"/>
              </w:rPr>
              <w:t xml:space="preserve"> </w:t>
            </w:r>
            <w:r w:rsidRPr="00EC0B05">
              <w:rPr>
                <w:rFonts w:eastAsia="Times New Roman" w:cs="Times New Roman"/>
                <w:sz w:val="21"/>
                <w:szCs w:val="21"/>
              </w:rPr>
              <w:t>a</w:t>
            </w:r>
            <w:r w:rsidRPr="00EC0B05">
              <w:rPr>
                <w:rFonts w:eastAsia="Times New Roman" w:cs="Times New Roman"/>
                <w:spacing w:val="-6"/>
                <w:sz w:val="21"/>
                <w:szCs w:val="21"/>
              </w:rPr>
              <w:t xml:space="preserve"> </w:t>
            </w:r>
            <w:r w:rsidRPr="00EC0B05">
              <w:rPr>
                <w:rFonts w:eastAsia="Times New Roman" w:cs="Times New Roman"/>
                <w:sz w:val="21"/>
                <w:szCs w:val="21"/>
              </w:rPr>
              <w:t>retirement</w:t>
            </w:r>
            <w:r w:rsidRPr="00EC0B05">
              <w:rPr>
                <w:rFonts w:eastAsia="Times New Roman" w:cs="Times New Roman"/>
                <w:spacing w:val="-6"/>
                <w:sz w:val="21"/>
                <w:szCs w:val="21"/>
              </w:rPr>
              <w:t xml:space="preserve"> </w:t>
            </w:r>
            <w:r w:rsidRPr="00EC0B05">
              <w:rPr>
                <w:rFonts w:eastAsia="Times New Roman" w:cs="Times New Roman"/>
                <w:sz w:val="21"/>
                <w:szCs w:val="21"/>
              </w:rPr>
              <w:t>savings</w:t>
            </w:r>
            <w:r w:rsidRPr="00EC0B05">
              <w:rPr>
                <w:rFonts w:eastAsia="Times New Roman" w:cs="Times New Roman"/>
                <w:spacing w:val="-6"/>
                <w:sz w:val="21"/>
                <w:szCs w:val="21"/>
              </w:rPr>
              <w:t xml:space="preserve"> </w:t>
            </w:r>
            <w:r w:rsidRPr="00EC0B05">
              <w:rPr>
                <w:rFonts w:eastAsia="Times New Roman" w:cs="Times New Roman"/>
                <w:sz w:val="21"/>
                <w:szCs w:val="21"/>
              </w:rPr>
              <w:t>account</w:t>
            </w:r>
          </w:p>
          <w:p w14:paraId="4338403E" w14:textId="77777777" w:rsidR="000016AE" w:rsidRPr="00EC0B05" w:rsidRDefault="000016AE" w:rsidP="00471F7C">
            <w:pPr>
              <w:widowControl w:val="0"/>
              <w:numPr>
                <w:ilvl w:val="0"/>
                <w:numId w:val="1"/>
              </w:numPr>
              <w:tabs>
                <w:tab w:val="left" w:pos="340"/>
              </w:tabs>
              <w:ind w:left="702"/>
              <w:rPr>
                <w:rFonts w:eastAsia="Times New Roman" w:cs="Times New Roman"/>
                <w:sz w:val="21"/>
                <w:szCs w:val="21"/>
              </w:rPr>
            </w:pPr>
            <w:r w:rsidRPr="00EC0B05">
              <w:rPr>
                <w:rFonts w:eastAsia="Times New Roman" w:cs="Times New Roman"/>
                <w:sz w:val="21"/>
                <w:szCs w:val="21"/>
              </w:rPr>
              <w:t>Trade equity</w:t>
            </w:r>
          </w:p>
          <w:p w14:paraId="60057512" w14:textId="77777777" w:rsidR="000016AE" w:rsidRPr="00EC0B05" w:rsidRDefault="000016AE" w:rsidP="00471F7C">
            <w:pPr>
              <w:widowControl w:val="0"/>
              <w:numPr>
                <w:ilvl w:val="0"/>
                <w:numId w:val="1"/>
              </w:numPr>
              <w:tabs>
                <w:tab w:val="left" w:pos="340"/>
              </w:tabs>
              <w:ind w:left="702"/>
              <w:rPr>
                <w:rFonts w:eastAsia="Times New Roman" w:cs="Times New Roman"/>
                <w:sz w:val="21"/>
                <w:szCs w:val="21"/>
              </w:rPr>
            </w:pPr>
            <w:r w:rsidRPr="00EC0B05">
              <w:rPr>
                <w:rFonts w:eastAsia="Times New Roman" w:cs="Times New Roman"/>
                <w:sz w:val="21"/>
                <w:szCs w:val="21"/>
              </w:rPr>
              <w:t>Savings bonds</w:t>
            </w:r>
          </w:p>
          <w:p w14:paraId="4C69189E" w14:textId="77777777" w:rsidR="000016AE" w:rsidRPr="00EC0B05" w:rsidRDefault="000016AE" w:rsidP="00471F7C">
            <w:pPr>
              <w:widowControl w:val="0"/>
              <w:numPr>
                <w:ilvl w:val="0"/>
                <w:numId w:val="1"/>
              </w:numPr>
              <w:tabs>
                <w:tab w:val="left" w:pos="340"/>
              </w:tabs>
              <w:ind w:left="702"/>
              <w:rPr>
                <w:rFonts w:eastAsia="Times New Roman" w:cs="Times New Roman"/>
                <w:sz w:val="21"/>
                <w:szCs w:val="21"/>
              </w:rPr>
            </w:pPr>
            <w:r w:rsidRPr="00EC0B05">
              <w:rPr>
                <w:rFonts w:eastAsia="Times New Roman" w:cs="Times New Roman"/>
                <w:sz w:val="21"/>
                <w:szCs w:val="21"/>
              </w:rPr>
              <w:t xml:space="preserve">Trust accounts </w:t>
            </w:r>
          </w:p>
          <w:p w14:paraId="76E24082" w14:textId="77777777" w:rsidR="000016AE" w:rsidRPr="00EC0B05" w:rsidRDefault="000016AE" w:rsidP="00471F7C">
            <w:pPr>
              <w:widowControl w:val="0"/>
              <w:numPr>
                <w:ilvl w:val="0"/>
                <w:numId w:val="1"/>
              </w:numPr>
              <w:tabs>
                <w:tab w:val="left" w:pos="340"/>
              </w:tabs>
              <w:ind w:left="702"/>
              <w:rPr>
                <w:rFonts w:eastAsia="Times New Roman" w:cs="Times New Roman"/>
                <w:sz w:val="21"/>
                <w:szCs w:val="21"/>
              </w:rPr>
            </w:pPr>
            <w:r w:rsidRPr="00EC0B05">
              <w:rPr>
                <w:rFonts w:eastAsia="Times New Roman" w:cs="Times New Roman"/>
                <w:sz w:val="21"/>
                <w:szCs w:val="21"/>
              </w:rPr>
              <w:t>Proceeds from sale of real estate</w:t>
            </w:r>
          </w:p>
          <w:p w14:paraId="60D1B6A2" w14:textId="77777777" w:rsidR="000016AE" w:rsidRPr="00EC0B05" w:rsidRDefault="000016AE" w:rsidP="00471F7C">
            <w:pPr>
              <w:widowControl w:val="0"/>
              <w:numPr>
                <w:ilvl w:val="0"/>
                <w:numId w:val="1"/>
              </w:numPr>
              <w:tabs>
                <w:tab w:val="left" w:pos="340"/>
              </w:tabs>
              <w:ind w:left="702"/>
              <w:rPr>
                <w:rFonts w:eastAsia="Times New Roman" w:cs="Times New Roman"/>
                <w:sz w:val="21"/>
                <w:szCs w:val="21"/>
              </w:rPr>
            </w:pPr>
            <w:r w:rsidRPr="00EC0B05">
              <w:rPr>
                <w:rFonts w:eastAsia="Times New Roman" w:cs="Times New Roman"/>
                <w:sz w:val="21"/>
                <w:szCs w:val="21"/>
              </w:rPr>
              <w:t xml:space="preserve">Deposits on sales contracts </w:t>
            </w:r>
          </w:p>
          <w:p w14:paraId="685844FC" w14:textId="77777777" w:rsidR="000016AE" w:rsidRPr="00EC0B05" w:rsidRDefault="000016AE" w:rsidP="00471F7C">
            <w:pPr>
              <w:widowControl w:val="0"/>
              <w:numPr>
                <w:ilvl w:val="0"/>
                <w:numId w:val="1"/>
              </w:numPr>
              <w:tabs>
                <w:tab w:val="left" w:pos="340"/>
              </w:tabs>
              <w:ind w:left="702"/>
              <w:rPr>
                <w:rFonts w:eastAsia="Times New Roman" w:cs="Times New Roman"/>
                <w:sz w:val="21"/>
                <w:szCs w:val="21"/>
              </w:rPr>
            </w:pPr>
            <w:r w:rsidRPr="00EC0B05">
              <w:rPr>
                <w:rFonts w:eastAsia="Times New Roman" w:cs="Times New Roman"/>
                <w:sz w:val="21"/>
                <w:szCs w:val="21"/>
              </w:rPr>
              <w:t>Repayment of loans</w:t>
            </w:r>
          </w:p>
          <w:p w14:paraId="1D5B531D" w14:textId="77777777" w:rsidR="000016AE" w:rsidRPr="00EC0B05" w:rsidRDefault="000016AE" w:rsidP="00471F7C">
            <w:pPr>
              <w:widowControl w:val="0"/>
              <w:numPr>
                <w:ilvl w:val="0"/>
                <w:numId w:val="1"/>
              </w:numPr>
              <w:tabs>
                <w:tab w:val="left" w:pos="340"/>
              </w:tabs>
              <w:ind w:left="702"/>
              <w:rPr>
                <w:rFonts w:eastAsia="Times New Roman" w:cs="Times New Roman"/>
                <w:sz w:val="21"/>
                <w:szCs w:val="21"/>
              </w:rPr>
            </w:pPr>
            <w:r w:rsidRPr="00EC0B05">
              <w:rPr>
                <w:rFonts w:eastAsia="Times New Roman" w:cs="Times New Roman"/>
                <w:sz w:val="21"/>
                <w:szCs w:val="21"/>
              </w:rPr>
              <w:t>Cash</w:t>
            </w:r>
            <w:r w:rsidRPr="00EC0B05">
              <w:rPr>
                <w:rFonts w:eastAsia="Times New Roman" w:cs="Times New Roman"/>
                <w:spacing w:val="-5"/>
                <w:sz w:val="21"/>
                <w:szCs w:val="21"/>
              </w:rPr>
              <w:t xml:space="preserve"> </w:t>
            </w:r>
            <w:r w:rsidRPr="00EC0B05">
              <w:rPr>
                <w:rFonts w:eastAsia="Times New Roman" w:cs="Times New Roman"/>
                <w:sz w:val="21"/>
                <w:szCs w:val="21"/>
              </w:rPr>
              <w:t xml:space="preserve">value of a vested life insurance policies </w:t>
            </w:r>
          </w:p>
          <w:p w14:paraId="539031A9" w14:textId="77777777" w:rsidR="000016AE" w:rsidRDefault="000016AE" w:rsidP="00471F7C">
            <w:pPr>
              <w:widowControl w:val="0"/>
              <w:numPr>
                <w:ilvl w:val="0"/>
                <w:numId w:val="1"/>
              </w:numPr>
              <w:tabs>
                <w:tab w:val="left" w:pos="340"/>
              </w:tabs>
              <w:ind w:left="702"/>
              <w:rPr>
                <w:rFonts w:eastAsia="Times New Roman" w:cs="Times New Roman"/>
                <w:sz w:val="21"/>
                <w:szCs w:val="21"/>
              </w:rPr>
            </w:pPr>
            <w:r w:rsidRPr="00EC0B05">
              <w:rPr>
                <w:rFonts w:eastAsia="Times New Roman" w:cs="Times New Roman"/>
                <w:sz w:val="21"/>
                <w:szCs w:val="21"/>
              </w:rPr>
              <w:t>Proceeds from a cash-out refinance transaction on subject property</w:t>
            </w:r>
          </w:p>
          <w:p w14:paraId="276F82A8" w14:textId="7BF438B3" w:rsidR="00727C08" w:rsidRPr="00EC0B05" w:rsidRDefault="00727C08">
            <w:pPr>
              <w:widowControl w:val="0"/>
              <w:numPr>
                <w:ilvl w:val="0"/>
                <w:numId w:val="1"/>
              </w:numPr>
              <w:tabs>
                <w:tab w:val="left" w:pos="340"/>
              </w:tabs>
              <w:ind w:left="702"/>
              <w:rPr>
                <w:rFonts w:eastAsia="Times New Roman" w:cs="Times New Roman"/>
                <w:sz w:val="21"/>
                <w:szCs w:val="21"/>
              </w:rPr>
            </w:pPr>
            <w:r>
              <w:rPr>
                <w:rFonts w:eastAsia="Times New Roman" w:cs="Times New Roman"/>
                <w:sz w:val="21"/>
                <w:szCs w:val="21"/>
              </w:rPr>
              <w:t>Gift funds</w:t>
            </w:r>
          </w:p>
          <w:p w14:paraId="5DCE0E17" w14:textId="77777777" w:rsidR="000016AE" w:rsidRPr="00EC0B05" w:rsidRDefault="000016AE">
            <w:pPr>
              <w:widowControl w:val="0"/>
              <w:tabs>
                <w:tab w:val="left" w:pos="340"/>
              </w:tabs>
              <w:ind w:left="702"/>
              <w:rPr>
                <w:rFonts w:eastAsia="Times New Roman" w:cs="Times New Roman"/>
                <w:sz w:val="21"/>
                <w:szCs w:val="21"/>
              </w:rPr>
            </w:pPr>
          </w:p>
          <w:p w14:paraId="44FF5F33" w14:textId="77777777" w:rsidR="000016AE" w:rsidRPr="00EC0B05" w:rsidRDefault="000016AE">
            <w:pPr>
              <w:widowControl w:val="0"/>
              <w:tabs>
                <w:tab w:val="left" w:pos="340"/>
              </w:tabs>
              <w:rPr>
                <w:rFonts w:eastAsia="Times New Roman" w:cs="Times New Roman"/>
                <w:b/>
                <w:sz w:val="21"/>
                <w:szCs w:val="21"/>
              </w:rPr>
            </w:pPr>
            <w:r w:rsidRPr="00EC0B05">
              <w:rPr>
                <w:rFonts w:eastAsia="Times New Roman" w:cs="Times New Roman"/>
                <w:b/>
                <w:sz w:val="21"/>
                <w:szCs w:val="21"/>
              </w:rPr>
              <w:t>Unacceptable source of down payment, closing costs and reserves sources include:</w:t>
            </w:r>
          </w:p>
          <w:p w14:paraId="13F3EF03" w14:textId="77777777" w:rsidR="000016AE" w:rsidRPr="00EC0B05" w:rsidRDefault="000016AE" w:rsidP="00471F7C">
            <w:pPr>
              <w:numPr>
                <w:ilvl w:val="0"/>
                <w:numId w:val="2"/>
              </w:numPr>
              <w:ind w:left="702"/>
              <w:rPr>
                <w:sz w:val="21"/>
                <w:szCs w:val="21"/>
              </w:rPr>
            </w:pPr>
            <w:r w:rsidRPr="00EC0B05">
              <w:rPr>
                <w:sz w:val="21"/>
                <w:szCs w:val="21"/>
              </w:rPr>
              <w:t>Funds that have not been vested</w:t>
            </w:r>
          </w:p>
          <w:p w14:paraId="10250482" w14:textId="77777777" w:rsidR="000016AE" w:rsidRPr="00EC0B05" w:rsidRDefault="000016AE" w:rsidP="00471F7C">
            <w:pPr>
              <w:numPr>
                <w:ilvl w:val="0"/>
                <w:numId w:val="2"/>
              </w:numPr>
              <w:ind w:left="702"/>
              <w:rPr>
                <w:sz w:val="21"/>
                <w:szCs w:val="21"/>
              </w:rPr>
            </w:pPr>
            <w:r w:rsidRPr="00EC0B05">
              <w:rPr>
                <w:sz w:val="21"/>
                <w:szCs w:val="21"/>
              </w:rPr>
              <w:t>Funds that cannot be withdrawn under circumstances other than the account owner’s retirement, employment termination, or death</w:t>
            </w:r>
          </w:p>
          <w:p w14:paraId="772AAE77" w14:textId="77777777" w:rsidR="000016AE" w:rsidRPr="00EC0B05" w:rsidRDefault="000016AE" w:rsidP="00471F7C">
            <w:pPr>
              <w:numPr>
                <w:ilvl w:val="0"/>
                <w:numId w:val="2"/>
              </w:numPr>
              <w:ind w:left="702"/>
              <w:rPr>
                <w:sz w:val="21"/>
                <w:szCs w:val="21"/>
              </w:rPr>
            </w:pPr>
            <w:r w:rsidRPr="00EC0B05">
              <w:rPr>
                <w:sz w:val="21"/>
                <w:szCs w:val="21"/>
              </w:rPr>
              <w:t>Stock held in an unlisted corporation</w:t>
            </w:r>
          </w:p>
          <w:p w14:paraId="3B73F0C2" w14:textId="77777777" w:rsidR="000016AE" w:rsidRPr="00EC0B05" w:rsidRDefault="000016AE" w:rsidP="00471F7C">
            <w:pPr>
              <w:numPr>
                <w:ilvl w:val="0"/>
                <w:numId w:val="2"/>
              </w:numPr>
              <w:ind w:left="702"/>
              <w:rPr>
                <w:sz w:val="21"/>
                <w:szCs w:val="21"/>
              </w:rPr>
            </w:pPr>
            <w:r w:rsidRPr="00EC0B05">
              <w:rPr>
                <w:sz w:val="21"/>
                <w:szCs w:val="21"/>
              </w:rPr>
              <w:lastRenderedPageBreak/>
              <w:t>Stock options and non-vested restricted stock</w:t>
            </w:r>
          </w:p>
          <w:p w14:paraId="69E8211C" w14:textId="77777777" w:rsidR="000016AE" w:rsidRPr="00EC0B05" w:rsidRDefault="000016AE" w:rsidP="00471F7C">
            <w:pPr>
              <w:numPr>
                <w:ilvl w:val="0"/>
                <w:numId w:val="2"/>
              </w:numPr>
              <w:ind w:left="702"/>
              <w:rPr>
                <w:sz w:val="21"/>
                <w:szCs w:val="21"/>
              </w:rPr>
            </w:pPr>
            <w:r w:rsidRPr="00EC0B05">
              <w:rPr>
                <w:sz w:val="21"/>
                <w:szCs w:val="21"/>
              </w:rPr>
              <w:t>Personal unsecured loans</w:t>
            </w:r>
          </w:p>
          <w:p w14:paraId="094B18D3" w14:textId="77777777" w:rsidR="000016AE" w:rsidRPr="00EC0B05" w:rsidRDefault="000016AE" w:rsidP="00471F7C">
            <w:pPr>
              <w:numPr>
                <w:ilvl w:val="0"/>
                <w:numId w:val="2"/>
              </w:numPr>
              <w:ind w:left="702"/>
              <w:rPr>
                <w:sz w:val="21"/>
                <w:szCs w:val="21"/>
              </w:rPr>
            </w:pPr>
            <w:r w:rsidRPr="00EC0B05">
              <w:rPr>
                <w:sz w:val="21"/>
                <w:szCs w:val="21"/>
              </w:rPr>
              <w:t xml:space="preserve">Interested party contributions (IPCs) that are not approved or exceed the amount allowed (See Interested Party Contributions)  </w:t>
            </w:r>
          </w:p>
          <w:p w14:paraId="63302AC7" w14:textId="77777777" w:rsidR="000016AE" w:rsidRDefault="000016AE" w:rsidP="00471F7C">
            <w:pPr>
              <w:widowControl w:val="0"/>
              <w:numPr>
                <w:ilvl w:val="0"/>
                <w:numId w:val="2"/>
              </w:numPr>
              <w:ind w:left="702"/>
              <w:rPr>
                <w:sz w:val="21"/>
                <w:szCs w:val="21"/>
              </w:rPr>
            </w:pPr>
            <w:r w:rsidRPr="00EC0B05">
              <w:rPr>
                <w:sz w:val="21"/>
                <w:szCs w:val="21"/>
              </w:rPr>
              <w:t>Sweat equity</w:t>
            </w:r>
          </w:p>
          <w:p w14:paraId="21040E7A" w14:textId="49E608F5" w:rsidR="00727C08" w:rsidRPr="00EC0B05" w:rsidRDefault="00727C08">
            <w:pPr>
              <w:widowControl w:val="0"/>
              <w:numPr>
                <w:ilvl w:val="0"/>
                <w:numId w:val="2"/>
              </w:numPr>
              <w:ind w:left="702"/>
              <w:rPr>
                <w:sz w:val="21"/>
                <w:szCs w:val="21"/>
              </w:rPr>
            </w:pPr>
            <w:r>
              <w:rPr>
                <w:sz w:val="21"/>
                <w:szCs w:val="21"/>
              </w:rPr>
              <w:t>Bitcoin or other virtual currencies</w:t>
            </w:r>
          </w:p>
        </w:tc>
      </w:tr>
      <w:tr w:rsidR="00EC0B05" w:rsidRPr="00EC0B05" w14:paraId="7BD83234" w14:textId="77777777" w:rsidTr="0063752F">
        <w:tc>
          <w:tcPr>
            <w:tcW w:w="1336" w:type="pct"/>
          </w:tcPr>
          <w:p w14:paraId="6D0DDB71" w14:textId="77777777" w:rsidR="000016AE" w:rsidRPr="00EC0B05" w:rsidRDefault="000016AE" w:rsidP="00471F7C">
            <w:pPr>
              <w:rPr>
                <w:b/>
                <w:sz w:val="21"/>
                <w:szCs w:val="21"/>
              </w:rPr>
            </w:pPr>
            <w:bookmarkStart w:id="61" w:name="loans_sec_fin"/>
            <w:r w:rsidRPr="00EC0B05">
              <w:rPr>
                <w:b/>
                <w:sz w:val="21"/>
                <w:szCs w:val="21"/>
              </w:rPr>
              <w:lastRenderedPageBreak/>
              <w:t>Loans Secured by Financial Assets</w:t>
            </w:r>
            <w:bookmarkEnd w:id="61"/>
          </w:p>
        </w:tc>
        <w:tc>
          <w:tcPr>
            <w:tcW w:w="3664" w:type="pct"/>
          </w:tcPr>
          <w:p w14:paraId="47A86201" w14:textId="77777777" w:rsidR="000016AE" w:rsidRPr="00EC0B05" w:rsidRDefault="000016AE">
            <w:pPr>
              <w:widowControl w:val="0"/>
              <w:ind w:right="224"/>
              <w:contextualSpacing/>
              <w:rPr>
                <w:w w:val="110"/>
                <w:sz w:val="21"/>
                <w:szCs w:val="21"/>
              </w:rPr>
            </w:pPr>
            <w:r w:rsidRPr="00EC0B05">
              <w:rPr>
                <w:w w:val="110"/>
                <w:sz w:val="21"/>
                <w:szCs w:val="21"/>
              </w:rPr>
              <w:t>When a borrower uses his or her financial assets—life insurance policies, 401(k) accounts, individual retirement accounts, certificates of deposit, stocks, bonds, etc.—as security for a loan, the borrower has a contingent liability.</w:t>
            </w:r>
          </w:p>
          <w:p w14:paraId="21C4A631" w14:textId="77777777" w:rsidR="000016AE" w:rsidRPr="00EC0B05" w:rsidRDefault="000016AE">
            <w:pPr>
              <w:contextualSpacing/>
              <w:rPr>
                <w:w w:val="110"/>
                <w:sz w:val="21"/>
                <w:szCs w:val="21"/>
              </w:rPr>
            </w:pPr>
          </w:p>
          <w:p w14:paraId="3F2569C5" w14:textId="77777777" w:rsidR="00072419" w:rsidRDefault="000016AE">
            <w:pPr>
              <w:widowControl w:val="0"/>
              <w:ind w:right="254"/>
              <w:contextualSpacing/>
              <w:rPr>
                <w:w w:val="110"/>
                <w:sz w:val="21"/>
                <w:szCs w:val="21"/>
              </w:rPr>
            </w:pPr>
            <w:r w:rsidRPr="00EC0B05">
              <w:rPr>
                <w:w w:val="110"/>
                <w:sz w:val="21"/>
                <w:szCs w:val="21"/>
              </w:rPr>
              <w:t xml:space="preserve">It is not required to include this contingent liability, as part of the borrower’s recurring monthly debt obligations, provided a copy of the applicable loan instrument that shows the borrower’s financial asset as collateral for the loan is obtained.  </w:t>
            </w:r>
          </w:p>
          <w:p w14:paraId="4A494071" w14:textId="77777777" w:rsidR="00072419" w:rsidRDefault="00072419">
            <w:pPr>
              <w:widowControl w:val="0"/>
              <w:ind w:right="254"/>
              <w:contextualSpacing/>
              <w:rPr>
                <w:w w:val="110"/>
                <w:sz w:val="21"/>
                <w:szCs w:val="21"/>
              </w:rPr>
            </w:pPr>
          </w:p>
          <w:p w14:paraId="102879E0" w14:textId="19576EFB" w:rsidR="000016AE" w:rsidRPr="00EC0B05" w:rsidRDefault="000016AE">
            <w:pPr>
              <w:widowControl w:val="0"/>
              <w:ind w:right="254"/>
              <w:contextualSpacing/>
              <w:rPr>
                <w:w w:val="110"/>
                <w:sz w:val="21"/>
                <w:szCs w:val="21"/>
              </w:rPr>
            </w:pPr>
            <w:r w:rsidRPr="00EC0B05">
              <w:rPr>
                <w:w w:val="110"/>
                <w:sz w:val="21"/>
                <w:szCs w:val="21"/>
              </w:rPr>
              <w:t>If the borrower intends to use the same asset to satisfy financial reserve requirements, the value of the asset must be reduced (the account balance, in most cases) by the proceeds from the secured loan and any related fees to help determine whether the borrower has sufficient reserves.</w:t>
            </w:r>
          </w:p>
        </w:tc>
      </w:tr>
      <w:tr w:rsidR="00EC0B05" w:rsidRPr="00EC0B05" w14:paraId="2F4C700A" w14:textId="77777777" w:rsidTr="0063752F">
        <w:tc>
          <w:tcPr>
            <w:tcW w:w="1336" w:type="pct"/>
          </w:tcPr>
          <w:p w14:paraId="300AFF0F" w14:textId="77777777" w:rsidR="00D800DB" w:rsidRPr="0068676B" w:rsidRDefault="00D800DB" w:rsidP="00471F7C">
            <w:pPr>
              <w:rPr>
                <w:b/>
                <w:sz w:val="21"/>
                <w:szCs w:val="21"/>
              </w:rPr>
            </w:pPr>
            <w:bookmarkStart w:id="62" w:name="Loans_To_One_Borrower"/>
            <w:r w:rsidRPr="0068676B">
              <w:rPr>
                <w:b/>
                <w:sz w:val="21"/>
                <w:szCs w:val="21"/>
              </w:rPr>
              <w:t>Loans To One Borrower</w:t>
            </w:r>
            <w:bookmarkEnd w:id="62"/>
          </w:p>
        </w:tc>
        <w:tc>
          <w:tcPr>
            <w:tcW w:w="3664" w:type="pct"/>
          </w:tcPr>
          <w:p w14:paraId="30E7BA31" w14:textId="77777777" w:rsidR="00387707" w:rsidRPr="00EC0B05" w:rsidRDefault="00D800DB">
            <w:pPr>
              <w:widowControl w:val="0"/>
              <w:ind w:right="224"/>
              <w:contextualSpacing/>
              <w:rPr>
                <w:w w:val="110"/>
                <w:sz w:val="21"/>
                <w:szCs w:val="21"/>
              </w:rPr>
            </w:pPr>
            <w:r w:rsidRPr="00EC0B05">
              <w:rPr>
                <w:w w:val="110"/>
                <w:sz w:val="21"/>
                <w:szCs w:val="21"/>
              </w:rPr>
              <w:t>'Loans To One Borrower' verification form must be completed by all borrowers</w:t>
            </w:r>
            <w:r w:rsidR="00387707" w:rsidRPr="00EC0B05">
              <w:rPr>
                <w:w w:val="110"/>
                <w:sz w:val="21"/>
                <w:szCs w:val="21"/>
              </w:rPr>
              <w:t>.</w:t>
            </w:r>
          </w:p>
          <w:p w14:paraId="44DEB82D" w14:textId="0E370F60" w:rsidR="00D800DB" w:rsidRPr="00EC0B05" w:rsidRDefault="00D800DB">
            <w:pPr>
              <w:widowControl w:val="0"/>
              <w:ind w:right="224"/>
              <w:contextualSpacing/>
              <w:rPr>
                <w:w w:val="110"/>
                <w:sz w:val="21"/>
                <w:szCs w:val="21"/>
              </w:rPr>
            </w:pPr>
            <w:r w:rsidRPr="00EC0B05">
              <w:rPr>
                <w:w w:val="110"/>
                <w:sz w:val="21"/>
                <w:szCs w:val="21"/>
              </w:rPr>
              <w:t xml:space="preserve">The form is located on the </w:t>
            </w:r>
            <w:r w:rsidR="002D1DA1">
              <w:rPr>
                <w:w w:val="110"/>
                <w:sz w:val="21"/>
                <w:szCs w:val="21"/>
              </w:rPr>
              <w:t>Axos Bank</w:t>
            </w:r>
            <w:r w:rsidRPr="00EC0B05">
              <w:rPr>
                <w:w w:val="110"/>
                <w:sz w:val="21"/>
                <w:szCs w:val="21"/>
              </w:rPr>
              <w:t xml:space="preserve"> website under forms at </w:t>
            </w:r>
            <w:hyperlink r:id="rId11" w:history="1">
              <w:r w:rsidR="002D1DA1" w:rsidRPr="00FD575A">
                <w:rPr>
                  <w:rStyle w:val="Hyperlink"/>
                  <w:w w:val="110"/>
                  <w:sz w:val="21"/>
                  <w:szCs w:val="21"/>
                </w:rPr>
                <w:t>https://www.axosbank.com/home-loans/third-party-lending/forms</w:t>
              </w:r>
            </w:hyperlink>
            <w:r w:rsidR="00331081">
              <w:rPr>
                <w:rStyle w:val="Hyperlink"/>
                <w:color w:val="auto"/>
                <w:w w:val="110"/>
                <w:sz w:val="21"/>
                <w:szCs w:val="21"/>
              </w:rPr>
              <w:t xml:space="preserve"> </w:t>
            </w:r>
          </w:p>
        </w:tc>
      </w:tr>
      <w:tr w:rsidR="00EC0B05" w:rsidRPr="00EC0B05" w14:paraId="6B6CEE85" w14:textId="77777777" w:rsidTr="0063752F">
        <w:tc>
          <w:tcPr>
            <w:tcW w:w="1336" w:type="pct"/>
          </w:tcPr>
          <w:p w14:paraId="2272F35F" w14:textId="77777777" w:rsidR="000016AE" w:rsidRPr="00EC0B05" w:rsidRDefault="000016AE" w:rsidP="00471F7C">
            <w:pPr>
              <w:rPr>
                <w:b/>
                <w:sz w:val="21"/>
                <w:szCs w:val="21"/>
              </w:rPr>
            </w:pPr>
            <w:bookmarkStart w:id="63" w:name="LTV_calc"/>
            <w:r w:rsidRPr="00EC0B05">
              <w:rPr>
                <w:b/>
                <w:sz w:val="21"/>
                <w:szCs w:val="21"/>
              </w:rPr>
              <w:t>L</w:t>
            </w:r>
            <w:bookmarkEnd w:id="63"/>
            <w:r w:rsidR="00A37D73" w:rsidRPr="00EC0B05">
              <w:rPr>
                <w:b/>
                <w:sz w:val="21"/>
                <w:szCs w:val="21"/>
              </w:rPr>
              <w:t>oan-to-Value</w:t>
            </w:r>
          </w:p>
        </w:tc>
        <w:tc>
          <w:tcPr>
            <w:tcW w:w="3664" w:type="pct"/>
            <w:vAlign w:val="center"/>
          </w:tcPr>
          <w:p w14:paraId="2EEF3EC8" w14:textId="77777777" w:rsidR="000016AE" w:rsidRPr="00EC0B05" w:rsidRDefault="000016AE" w:rsidP="00A8756A">
            <w:pPr>
              <w:pStyle w:val="BodyText"/>
              <w:numPr>
                <w:ilvl w:val="0"/>
                <w:numId w:val="68"/>
              </w:numPr>
              <w:kinsoku w:val="0"/>
              <w:overflowPunct w:val="0"/>
              <w:ind w:right="120"/>
              <w:jc w:val="both"/>
              <w:rPr>
                <w:rFonts w:asciiTheme="minorHAnsi" w:eastAsiaTheme="minorHAnsi" w:hAnsiTheme="minorHAnsi" w:cstheme="minorBidi"/>
              </w:rPr>
            </w:pPr>
            <w:r w:rsidRPr="00EC0B05">
              <w:rPr>
                <w:rFonts w:asciiTheme="minorHAnsi" w:eastAsiaTheme="minorHAnsi" w:hAnsiTheme="minorHAnsi" w:cstheme="minorBidi"/>
              </w:rPr>
              <w:t>Loan amount less than $1,000,000 – one appraisal required</w:t>
            </w:r>
          </w:p>
          <w:p w14:paraId="2B484C22" w14:textId="77777777" w:rsidR="000016AE" w:rsidRPr="00EC0B05" w:rsidRDefault="000016AE" w:rsidP="00A8756A">
            <w:pPr>
              <w:pStyle w:val="BodyText"/>
              <w:numPr>
                <w:ilvl w:val="0"/>
                <w:numId w:val="68"/>
              </w:numPr>
              <w:kinsoku w:val="0"/>
              <w:overflowPunct w:val="0"/>
              <w:ind w:right="120"/>
              <w:jc w:val="both"/>
              <w:rPr>
                <w:rFonts w:asciiTheme="minorHAnsi" w:eastAsiaTheme="minorHAnsi" w:hAnsiTheme="minorHAnsi" w:cstheme="minorBidi"/>
              </w:rPr>
            </w:pPr>
            <w:r w:rsidRPr="00EC0B05">
              <w:rPr>
                <w:rFonts w:asciiTheme="minorHAnsi" w:eastAsiaTheme="minorHAnsi" w:hAnsiTheme="minorHAnsi" w:cstheme="minorBidi"/>
              </w:rPr>
              <w:t>Loan amount greater than $1,000,000 = two appraisals required</w:t>
            </w:r>
          </w:p>
          <w:p w14:paraId="0F9D8727" w14:textId="77777777" w:rsidR="000016AE" w:rsidRPr="00EC0B05" w:rsidRDefault="000016AE" w:rsidP="00A8756A">
            <w:pPr>
              <w:pStyle w:val="BodyText"/>
              <w:numPr>
                <w:ilvl w:val="0"/>
                <w:numId w:val="68"/>
              </w:numPr>
              <w:kinsoku w:val="0"/>
              <w:overflowPunct w:val="0"/>
              <w:ind w:right="120"/>
              <w:jc w:val="both"/>
              <w:rPr>
                <w:rFonts w:asciiTheme="minorHAnsi" w:eastAsiaTheme="minorHAnsi" w:hAnsiTheme="minorHAnsi" w:cstheme="minorBidi"/>
              </w:rPr>
            </w:pPr>
            <w:r w:rsidRPr="00EC0B05">
              <w:rPr>
                <w:rFonts w:asciiTheme="minorHAnsi" w:eastAsiaTheme="minorHAnsi" w:hAnsiTheme="minorHAnsi" w:cstheme="minorBidi"/>
              </w:rPr>
              <w:t>An appraisal review is completed of all appraisals by the Appraisal Department.  The final determination of value concluded in the review is used to calculate value.</w:t>
            </w:r>
          </w:p>
          <w:p w14:paraId="29568BA2" w14:textId="76B9F483" w:rsidR="000016AE" w:rsidRDefault="005E0B67" w:rsidP="00471F7C">
            <w:pPr>
              <w:pStyle w:val="BodyText"/>
              <w:kinsoku w:val="0"/>
              <w:overflowPunct w:val="0"/>
              <w:ind w:right="120"/>
              <w:jc w:val="both"/>
              <w:rPr>
                <w:rFonts w:asciiTheme="minorHAnsi" w:eastAsiaTheme="minorHAnsi" w:hAnsiTheme="minorHAnsi" w:cstheme="minorBidi"/>
              </w:rPr>
            </w:pPr>
            <w:r>
              <w:rPr>
                <w:rFonts w:asciiTheme="minorHAnsi" w:eastAsiaTheme="minorHAnsi" w:hAnsiTheme="minorHAnsi" w:cstheme="minorBidi"/>
                <w:u w:val="single"/>
              </w:rPr>
              <w:t>P</w:t>
            </w:r>
            <w:r w:rsidRPr="005521B9">
              <w:rPr>
                <w:rFonts w:asciiTheme="minorHAnsi" w:eastAsiaTheme="minorHAnsi" w:hAnsiTheme="minorHAnsi" w:cstheme="minorBidi"/>
                <w:u w:val="single"/>
              </w:rPr>
              <w:t>urchase Transactions</w:t>
            </w:r>
            <w:r>
              <w:rPr>
                <w:rFonts w:asciiTheme="minorHAnsi" w:eastAsiaTheme="minorHAnsi" w:hAnsiTheme="minorHAnsi" w:cstheme="minorBidi"/>
              </w:rPr>
              <w:t>: generally, t</w:t>
            </w:r>
            <w:r w:rsidR="000016AE" w:rsidRPr="00EC0B05">
              <w:rPr>
                <w:rFonts w:asciiTheme="minorHAnsi" w:eastAsiaTheme="minorHAnsi" w:hAnsiTheme="minorHAnsi" w:cstheme="minorBidi"/>
              </w:rPr>
              <w:t>he lesser of appraisal review or purchase price is used to calculate LTV</w:t>
            </w:r>
          </w:p>
          <w:p w14:paraId="3CA3992E" w14:textId="77777777" w:rsidR="005E0B67" w:rsidRDefault="005E0B67" w:rsidP="00471F7C">
            <w:pPr>
              <w:pStyle w:val="BodyText"/>
              <w:kinsoku w:val="0"/>
              <w:overflowPunct w:val="0"/>
              <w:ind w:right="120"/>
              <w:jc w:val="both"/>
              <w:rPr>
                <w:rFonts w:asciiTheme="minorHAnsi" w:eastAsiaTheme="minorHAnsi" w:hAnsiTheme="minorHAnsi" w:cstheme="minorBidi"/>
              </w:rPr>
            </w:pPr>
          </w:p>
          <w:p w14:paraId="6B38563F" w14:textId="6D089321" w:rsidR="005E0B67" w:rsidRDefault="005E0B67" w:rsidP="00471F7C">
            <w:pPr>
              <w:pStyle w:val="BodyText"/>
              <w:kinsoku w:val="0"/>
              <w:overflowPunct w:val="0"/>
              <w:ind w:right="120"/>
              <w:jc w:val="both"/>
              <w:rPr>
                <w:rFonts w:asciiTheme="minorHAnsi" w:eastAsiaTheme="minorHAnsi" w:hAnsiTheme="minorHAnsi" w:cstheme="minorBidi"/>
              </w:rPr>
            </w:pPr>
            <w:r>
              <w:rPr>
                <w:rFonts w:asciiTheme="minorHAnsi" w:eastAsiaTheme="minorHAnsi" w:hAnsiTheme="minorHAnsi" w:cstheme="minorBidi"/>
                <w:u w:val="single"/>
              </w:rPr>
              <w:t>Rate &amp; Term (Limited Cash Out) Refinance Transactions</w:t>
            </w:r>
            <w:r>
              <w:rPr>
                <w:rFonts w:asciiTheme="minorHAnsi" w:eastAsiaTheme="minorHAnsi" w:hAnsiTheme="minorHAnsi" w:cstheme="minorBidi"/>
              </w:rPr>
              <w:t>: generally, the lesser o</w:t>
            </w:r>
            <w:r w:rsidR="00BB7CE1">
              <w:rPr>
                <w:rFonts w:asciiTheme="minorHAnsi" w:eastAsiaTheme="minorHAnsi" w:hAnsiTheme="minorHAnsi" w:cstheme="minorBidi"/>
              </w:rPr>
              <w:t>f the appraisal review value or</w:t>
            </w:r>
            <w:r>
              <w:rPr>
                <w:rFonts w:asciiTheme="minorHAnsi" w:eastAsiaTheme="minorHAnsi" w:hAnsiTheme="minorHAnsi" w:cstheme="minorBidi"/>
              </w:rPr>
              <w:t xml:space="preserve"> the appraisal value is applied. Based on the appraisal or appraisal review, if the property has been listed in the last 12 months, the value is based on the lower o</w:t>
            </w:r>
            <w:r w:rsidR="000433B7">
              <w:rPr>
                <w:rFonts w:asciiTheme="minorHAnsi" w:eastAsiaTheme="minorHAnsi" w:hAnsiTheme="minorHAnsi" w:cstheme="minorBidi"/>
              </w:rPr>
              <w:t>f the appraisal review value or</w:t>
            </w:r>
            <w:r>
              <w:rPr>
                <w:rFonts w:asciiTheme="minorHAnsi" w:eastAsiaTheme="minorHAnsi" w:hAnsiTheme="minorHAnsi" w:cstheme="minorBidi"/>
              </w:rPr>
              <w:t xml:space="preserve"> the lowest listed sales price</w:t>
            </w:r>
            <w:r w:rsidR="00BB7CE1">
              <w:rPr>
                <w:rFonts w:asciiTheme="minorHAnsi" w:eastAsiaTheme="minorHAnsi" w:hAnsiTheme="minorHAnsi" w:cstheme="minorBidi"/>
              </w:rPr>
              <w:t>.</w:t>
            </w:r>
          </w:p>
          <w:p w14:paraId="0D5E8015" w14:textId="789F2CD4" w:rsidR="00095503" w:rsidRDefault="00095503" w:rsidP="00A8756A">
            <w:pPr>
              <w:pStyle w:val="BodyText"/>
              <w:numPr>
                <w:ilvl w:val="0"/>
                <w:numId w:val="73"/>
              </w:numPr>
              <w:kinsoku w:val="0"/>
              <w:overflowPunct w:val="0"/>
              <w:ind w:right="120"/>
              <w:jc w:val="both"/>
              <w:rPr>
                <w:rFonts w:asciiTheme="minorHAnsi" w:eastAsiaTheme="minorHAnsi" w:hAnsiTheme="minorHAnsi" w:cstheme="minorBidi"/>
              </w:rPr>
            </w:pPr>
            <w:r>
              <w:rPr>
                <w:rFonts w:asciiTheme="minorHAnsi" w:eastAsiaTheme="minorHAnsi" w:hAnsiTheme="minorHAnsi" w:cstheme="minorBidi"/>
              </w:rPr>
              <w:t xml:space="preserve">NOTE: if the property has been </w:t>
            </w:r>
            <w:r w:rsidR="00E634B6">
              <w:rPr>
                <w:rFonts w:asciiTheme="minorHAnsi" w:eastAsiaTheme="minorHAnsi" w:hAnsiTheme="minorHAnsi" w:cstheme="minorBidi"/>
              </w:rPr>
              <w:t xml:space="preserve">listed for sale within </w:t>
            </w:r>
            <w:r>
              <w:rPr>
                <w:rFonts w:asciiTheme="minorHAnsi" w:eastAsiaTheme="minorHAnsi" w:hAnsiTheme="minorHAnsi" w:cstheme="minorBidi"/>
              </w:rPr>
              <w:t>90 days</w:t>
            </w:r>
            <w:r w:rsidR="00B45AB8">
              <w:rPr>
                <w:rFonts w:asciiTheme="minorHAnsi" w:eastAsiaTheme="minorHAnsi" w:hAnsiTheme="minorHAnsi" w:cstheme="minorBidi"/>
              </w:rPr>
              <w:t xml:space="preserve"> of the application date</w:t>
            </w:r>
            <w:r>
              <w:rPr>
                <w:rFonts w:asciiTheme="minorHAnsi" w:eastAsiaTheme="minorHAnsi" w:hAnsiTheme="minorHAnsi" w:cstheme="minorBidi"/>
              </w:rPr>
              <w:t>, proof of the listing’s removal and an LOE from the borrower will be required</w:t>
            </w:r>
          </w:p>
          <w:p w14:paraId="5CE07BE6" w14:textId="77777777" w:rsidR="005E0B67" w:rsidRDefault="005E0B67" w:rsidP="00471F7C">
            <w:pPr>
              <w:pStyle w:val="BodyText"/>
              <w:kinsoku w:val="0"/>
              <w:overflowPunct w:val="0"/>
              <w:ind w:right="120"/>
              <w:jc w:val="both"/>
              <w:rPr>
                <w:rFonts w:asciiTheme="minorHAnsi" w:eastAsiaTheme="minorHAnsi" w:hAnsiTheme="minorHAnsi" w:cstheme="minorBidi"/>
              </w:rPr>
            </w:pPr>
          </w:p>
          <w:p w14:paraId="6F86FBA9" w14:textId="43E77F9C" w:rsidR="005E0B67" w:rsidRDefault="005E0B67" w:rsidP="00471F7C">
            <w:pPr>
              <w:pStyle w:val="BodyText"/>
              <w:kinsoku w:val="0"/>
              <w:overflowPunct w:val="0"/>
              <w:ind w:right="120"/>
              <w:jc w:val="both"/>
              <w:rPr>
                <w:rFonts w:asciiTheme="minorHAnsi" w:eastAsiaTheme="minorHAnsi" w:hAnsiTheme="minorHAnsi" w:cstheme="minorBidi"/>
              </w:rPr>
            </w:pPr>
            <w:r>
              <w:rPr>
                <w:rFonts w:asciiTheme="minorHAnsi" w:eastAsiaTheme="minorHAnsi" w:hAnsiTheme="minorHAnsi" w:cstheme="minorBidi"/>
                <w:u w:val="single"/>
              </w:rPr>
              <w:t>Cash Out Refinance Transactions</w:t>
            </w:r>
            <w:r>
              <w:rPr>
                <w:rFonts w:asciiTheme="minorHAnsi" w:eastAsiaTheme="minorHAnsi" w:hAnsiTheme="minorHAnsi" w:cstheme="minorBidi"/>
              </w:rPr>
              <w:t>: generally, the value is determined as follows—</w:t>
            </w:r>
          </w:p>
          <w:p w14:paraId="23176501" w14:textId="77777777" w:rsidR="005E0B67" w:rsidRDefault="005E0B67" w:rsidP="00A8756A">
            <w:pPr>
              <w:pStyle w:val="BodyText"/>
              <w:numPr>
                <w:ilvl w:val="0"/>
                <w:numId w:val="68"/>
              </w:numPr>
              <w:kinsoku w:val="0"/>
              <w:overflowPunct w:val="0"/>
              <w:ind w:right="120"/>
              <w:jc w:val="both"/>
              <w:rPr>
                <w:rFonts w:asciiTheme="minorHAnsi" w:eastAsiaTheme="minorHAnsi" w:hAnsiTheme="minorHAnsi" w:cstheme="minorBidi"/>
              </w:rPr>
            </w:pPr>
            <w:r>
              <w:rPr>
                <w:rFonts w:asciiTheme="minorHAnsi" w:eastAsiaTheme="minorHAnsi" w:hAnsiTheme="minorHAnsi" w:cstheme="minorBidi"/>
              </w:rPr>
              <w:t>If the property was acquired more than 12 months prior to the application date, the appraisal review value should be used</w:t>
            </w:r>
          </w:p>
          <w:p w14:paraId="1CA5DDEE" w14:textId="3E072542" w:rsidR="005E0B67" w:rsidRDefault="005E0B67" w:rsidP="00A8756A">
            <w:pPr>
              <w:pStyle w:val="BodyText"/>
              <w:numPr>
                <w:ilvl w:val="0"/>
                <w:numId w:val="68"/>
              </w:numPr>
              <w:kinsoku w:val="0"/>
              <w:overflowPunct w:val="0"/>
              <w:ind w:right="120"/>
              <w:jc w:val="both"/>
              <w:rPr>
                <w:rFonts w:asciiTheme="minorHAnsi" w:eastAsiaTheme="minorHAnsi" w:hAnsiTheme="minorHAnsi" w:cstheme="minorBidi"/>
              </w:rPr>
            </w:pPr>
            <w:r>
              <w:rPr>
                <w:rFonts w:asciiTheme="minorHAnsi" w:eastAsiaTheme="minorHAnsi" w:hAnsiTheme="minorHAnsi" w:cstheme="minorBidi"/>
              </w:rPr>
              <w:t xml:space="preserve">If the property was acquired within 12 months of the application date (based on </w:t>
            </w:r>
            <w:r w:rsidR="003A79ED">
              <w:rPr>
                <w:rFonts w:asciiTheme="minorHAnsi" w:eastAsiaTheme="minorHAnsi" w:hAnsiTheme="minorHAnsi" w:cstheme="minorBidi"/>
              </w:rPr>
              <w:t>the appraisal or appraisal review), the lower o</w:t>
            </w:r>
            <w:r w:rsidR="000433B7">
              <w:rPr>
                <w:rFonts w:asciiTheme="minorHAnsi" w:eastAsiaTheme="minorHAnsi" w:hAnsiTheme="minorHAnsi" w:cstheme="minorBidi"/>
              </w:rPr>
              <w:t>f the appraisal review value or the acquisition</w:t>
            </w:r>
            <w:r w:rsidR="003A79ED">
              <w:rPr>
                <w:rFonts w:asciiTheme="minorHAnsi" w:eastAsiaTheme="minorHAnsi" w:hAnsiTheme="minorHAnsi" w:cstheme="minorBidi"/>
              </w:rPr>
              <w:t xml:space="preserve"> price should be used</w:t>
            </w:r>
          </w:p>
          <w:p w14:paraId="701F196E" w14:textId="43A74E8F" w:rsidR="001E6D65" w:rsidRPr="00EC0B05" w:rsidRDefault="001E6D65" w:rsidP="00A8756A">
            <w:pPr>
              <w:pStyle w:val="BodyText"/>
              <w:numPr>
                <w:ilvl w:val="1"/>
                <w:numId w:val="68"/>
              </w:numPr>
              <w:kinsoku w:val="0"/>
              <w:overflowPunct w:val="0"/>
              <w:ind w:right="434"/>
              <w:rPr>
                <w:rFonts w:asciiTheme="minorHAnsi" w:eastAsiaTheme="minorHAnsi" w:hAnsiTheme="minorHAnsi" w:cstheme="minorBidi"/>
              </w:rPr>
            </w:pPr>
            <w:r w:rsidRPr="00EC0B05">
              <w:rPr>
                <w:rFonts w:asciiTheme="minorHAnsi" w:eastAsiaTheme="minorHAnsi" w:hAnsiTheme="minorHAnsi" w:cstheme="minorBidi"/>
              </w:rPr>
              <w:t>If funds are used to recapture amount paid for the property, purchase LTV may be utilized if B of I receives the loan application within twelve months of the close of the purchase esc</w:t>
            </w:r>
            <w:r>
              <w:rPr>
                <w:rFonts w:asciiTheme="minorHAnsi" w:eastAsiaTheme="minorHAnsi" w:hAnsiTheme="minorHAnsi" w:cstheme="minorBidi"/>
              </w:rPr>
              <w:t>row AND:</w:t>
            </w:r>
          </w:p>
          <w:p w14:paraId="741F80FA" w14:textId="77777777" w:rsidR="001E6D65" w:rsidRPr="00EC0B05" w:rsidRDefault="001E6D65" w:rsidP="00A8756A">
            <w:pPr>
              <w:pStyle w:val="BodyText"/>
              <w:numPr>
                <w:ilvl w:val="2"/>
                <w:numId w:val="68"/>
              </w:numPr>
              <w:kinsoku w:val="0"/>
              <w:overflowPunct w:val="0"/>
              <w:ind w:right="434"/>
              <w:rPr>
                <w:rFonts w:asciiTheme="minorHAnsi" w:eastAsiaTheme="minorHAnsi" w:hAnsiTheme="minorHAnsi" w:cstheme="minorBidi"/>
              </w:rPr>
            </w:pPr>
            <w:r w:rsidRPr="00EC0B05">
              <w:rPr>
                <w:rFonts w:asciiTheme="minorHAnsi" w:eastAsiaTheme="minorHAnsi" w:hAnsiTheme="minorHAnsi" w:cstheme="minorBidi"/>
              </w:rPr>
              <w:t>Closing Disclosure issued at close of the purchase escrow.</w:t>
            </w:r>
          </w:p>
          <w:p w14:paraId="256D6096" w14:textId="77A3E5F0" w:rsidR="001E6D65" w:rsidRDefault="001E6D65" w:rsidP="00A8756A">
            <w:pPr>
              <w:pStyle w:val="BodyText"/>
              <w:numPr>
                <w:ilvl w:val="2"/>
                <w:numId w:val="68"/>
              </w:numPr>
              <w:kinsoku w:val="0"/>
              <w:overflowPunct w:val="0"/>
              <w:ind w:right="120"/>
              <w:jc w:val="both"/>
              <w:rPr>
                <w:rFonts w:asciiTheme="minorHAnsi" w:eastAsiaTheme="minorHAnsi" w:hAnsiTheme="minorHAnsi" w:cstheme="minorBidi"/>
              </w:rPr>
            </w:pPr>
            <w:r w:rsidRPr="00EC0B05">
              <w:rPr>
                <w:rFonts w:asciiTheme="minorHAnsi" w:eastAsiaTheme="minorHAnsi" w:hAnsiTheme="minorHAnsi" w:cstheme="minorBidi"/>
              </w:rPr>
              <w:t>Documentation of source of funds used for down payment that must meet B of I requirements for down payment</w:t>
            </w:r>
          </w:p>
          <w:p w14:paraId="4BBC072A" w14:textId="21E5240C" w:rsidR="000E1841" w:rsidRPr="00EC0B05" w:rsidRDefault="003A79ED" w:rsidP="00A8756A">
            <w:pPr>
              <w:pStyle w:val="BodyText"/>
              <w:numPr>
                <w:ilvl w:val="0"/>
                <w:numId w:val="68"/>
              </w:numPr>
              <w:kinsoku w:val="0"/>
              <w:overflowPunct w:val="0"/>
              <w:ind w:right="120"/>
              <w:jc w:val="both"/>
              <w:rPr>
                <w:rFonts w:asciiTheme="minorHAnsi" w:eastAsiaTheme="minorHAnsi" w:hAnsiTheme="minorHAnsi" w:cstheme="minorBidi"/>
              </w:rPr>
            </w:pPr>
            <w:r>
              <w:rPr>
                <w:rFonts w:asciiTheme="minorHAnsi" w:eastAsiaTheme="minorHAnsi" w:hAnsiTheme="minorHAnsi" w:cstheme="minorBidi"/>
              </w:rPr>
              <w:t>If the property was acquired within 12 months AND was</w:t>
            </w:r>
            <w:r w:rsidR="000433B7">
              <w:rPr>
                <w:rFonts w:asciiTheme="minorHAnsi" w:eastAsiaTheme="minorHAnsi" w:hAnsiTheme="minorHAnsi" w:cstheme="minorBidi"/>
              </w:rPr>
              <w:t xml:space="preserve"> subsequently</w:t>
            </w:r>
            <w:r>
              <w:rPr>
                <w:rFonts w:asciiTheme="minorHAnsi" w:eastAsiaTheme="minorHAnsi" w:hAnsiTheme="minorHAnsi" w:cstheme="minorBidi"/>
              </w:rPr>
              <w:t xml:space="preserve"> listed within 12 months of the application date, the most recent event (acquisition or </w:t>
            </w:r>
            <w:r>
              <w:rPr>
                <w:rFonts w:asciiTheme="minorHAnsi" w:eastAsiaTheme="minorHAnsi" w:hAnsiTheme="minorHAnsi" w:cstheme="minorBidi"/>
              </w:rPr>
              <w:lastRenderedPageBreak/>
              <w:t xml:space="preserve">listing) should determine how the LTV is calculated </w:t>
            </w:r>
          </w:p>
          <w:p w14:paraId="076BC2E8" w14:textId="77777777" w:rsidR="000C0176" w:rsidRPr="00EC0B05" w:rsidRDefault="000C0176" w:rsidP="00471F7C">
            <w:pPr>
              <w:pStyle w:val="BodyText"/>
              <w:kinsoku w:val="0"/>
              <w:overflowPunct w:val="0"/>
              <w:ind w:left="720" w:right="434"/>
              <w:rPr>
                <w:rFonts w:asciiTheme="minorHAnsi" w:eastAsiaTheme="minorHAnsi" w:hAnsiTheme="minorHAnsi" w:cstheme="minorBidi"/>
              </w:rPr>
            </w:pPr>
          </w:p>
          <w:p w14:paraId="4C21004B" w14:textId="7377B9ED" w:rsidR="000016AE" w:rsidRPr="00EC0B05" w:rsidRDefault="003A79ED" w:rsidP="00471F7C">
            <w:pPr>
              <w:pStyle w:val="BodyText"/>
              <w:kinsoku w:val="0"/>
              <w:overflowPunct w:val="0"/>
              <w:ind w:right="434"/>
              <w:rPr>
                <w:rFonts w:asciiTheme="minorHAnsi" w:eastAsiaTheme="minorHAnsi" w:hAnsiTheme="minorHAnsi" w:cstheme="minorBidi"/>
              </w:rPr>
            </w:pPr>
            <w:r>
              <w:rPr>
                <w:rFonts w:asciiTheme="minorHAnsi" w:eastAsiaTheme="minorHAnsi" w:hAnsiTheme="minorHAnsi" w:cstheme="minorBidi"/>
              </w:rPr>
              <w:t>NOTE: A</w:t>
            </w:r>
            <w:r w:rsidR="000016AE" w:rsidRPr="00EC0B05">
              <w:rPr>
                <w:rFonts w:asciiTheme="minorHAnsi" w:eastAsiaTheme="minorHAnsi" w:hAnsiTheme="minorHAnsi" w:cstheme="minorBidi"/>
              </w:rPr>
              <w:t xml:space="preserve"> property must be off the market before receiving cash</w:t>
            </w:r>
            <w:r w:rsidR="00E634B6">
              <w:rPr>
                <w:rFonts w:asciiTheme="minorHAnsi" w:eastAsiaTheme="minorHAnsi" w:hAnsiTheme="minorHAnsi" w:cstheme="minorBidi"/>
              </w:rPr>
              <w:t xml:space="preserve"> </w:t>
            </w:r>
            <w:r w:rsidR="000016AE" w:rsidRPr="00EC0B05">
              <w:rPr>
                <w:rFonts w:asciiTheme="minorHAnsi" w:eastAsiaTheme="minorHAnsi" w:hAnsiTheme="minorHAnsi" w:cstheme="minorBidi"/>
              </w:rPr>
              <w:t xml:space="preserve">out on a refinance. </w:t>
            </w:r>
            <w:r w:rsidR="00E634B6">
              <w:rPr>
                <w:rFonts w:asciiTheme="minorHAnsi" w:eastAsiaTheme="minorHAnsi" w:hAnsiTheme="minorHAnsi" w:cstheme="minorBidi"/>
              </w:rPr>
              <w:t>Cash-</w:t>
            </w:r>
            <w:r w:rsidR="00B45AB8">
              <w:rPr>
                <w:rFonts w:asciiTheme="minorHAnsi" w:eastAsiaTheme="minorHAnsi" w:hAnsiTheme="minorHAnsi" w:cstheme="minorBidi"/>
              </w:rPr>
              <w:t>out refinances are not eligible for properties that have been listed within 90 days of the application date.</w:t>
            </w:r>
          </w:p>
          <w:p w14:paraId="29151810" w14:textId="77777777" w:rsidR="009C5F67" w:rsidRPr="00EC0B05" w:rsidRDefault="009C5F67" w:rsidP="00471F7C">
            <w:pPr>
              <w:pStyle w:val="BodyText"/>
              <w:kinsoku w:val="0"/>
              <w:overflowPunct w:val="0"/>
              <w:ind w:right="434"/>
              <w:rPr>
                <w:rFonts w:asciiTheme="minorHAnsi" w:eastAsiaTheme="minorHAnsi" w:hAnsiTheme="minorHAnsi" w:cstheme="minorBidi"/>
              </w:rPr>
            </w:pPr>
          </w:p>
          <w:p w14:paraId="2948D6FC" w14:textId="77777777" w:rsidR="009C5F67" w:rsidRPr="00EC0B05" w:rsidRDefault="009C5F67" w:rsidP="00471F7C">
            <w:pPr>
              <w:pStyle w:val="BodyText"/>
              <w:kinsoku w:val="0"/>
              <w:overflowPunct w:val="0"/>
              <w:ind w:right="162"/>
              <w:rPr>
                <w:rFonts w:asciiTheme="minorHAnsi" w:eastAsiaTheme="minorHAnsi" w:hAnsiTheme="minorHAnsi" w:cstheme="minorBidi"/>
                <w:w w:val="110"/>
              </w:rPr>
            </w:pPr>
            <w:r w:rsidRPr="00EC0B05">
              <w:rPr>
                <w:rFonts w:asciiTheme="minorHAnsi" w:eastAsiaTheme="minorHAnsi" w:hAnsiTheme="minorHAnsi" w:cstheme="minorBidi"/>
                <w:w w:val="110"/>
              </w:rPr>
              <w:t>Maximum financing may not be available for the following properties. A reduction to LTV will be required for each of these existent factors.</w:t>
            </w:r>
          </w:p>
          <w:p w14:paraId="6A6C4BB9" w14:textId="77777777" w:rsidR="009C5F67" w:rsidRPr="00EC0B05" w:rsidRDefault="009C5F67" w:rsidP="00A8756A">
            <w:pPr>
              <w:pStyle w:val="BodyText"/>
              <w:numPr>
                <w:ilvl w:val="0"/>
                <w:numId w:val="68"/>
              </w:numPr>
              <w:kinsoku w:val="0"/>
              <w:overflowPunct w:val="0"/>
              <w:ind w:right="162"/>
              <w:rPr>
                <w:rFonts w:asciiTheme="minorHAnsi" w:eastAsiaTheme="minorHAnsi" w:hAnsiTheme="minorHAnsi" w:cstheme="minorBidi"/>
                <w:w w:val="110"/>
              </w:rPr>
            </w:pPr>
            <w:r w:rsidRPr="00EC0B05">
              <w:rPr>
                <w:rFonts w:asciiTheme="minorHAnsi" w:eastAsiaTheme="minorHAnsi" w:hAnsiTheme="minorHAnsi" w:cstheme="minorBidi"/>
                <w:w w:val="110"/>
              </w:rPr>
              <w:t xml:space="preserve">Rural properties in area less than 25% built-up, </w:t>
            </w:r>
          </w:p>
          <w:p w14:paraId="57A1F1AA" w14:textId="77777777" w:rsidR="009C5F67" w:rsidRPr="00EC0B05" w:rsidRDefault="009C5F67" w:rsidP="00A8756A">
            <w:pPr>
              <w:pStyle w:val="BodyText"/>
              <w:numPr>
                <w:ilvl w:val="0"/>
                <w:numId w:val="68"/>
              </w:numPr>
              <w:kinsoku w:val="0"/>
              <w:overflowPunct w:val="0"/>
              <w:ind w:right="162"/>
              <w:rPr>
                <w:rFonts w:asciiTheme="minorHAnsi" w:eastAsiaTheme="minorHAnsi" w:hAnsiTheme="minorHAnsi" w:cstheme="minorBidi"/>
                <w:w w:val="110"/>
              </w:rPr>
            </w:pPr>
            <w:r w:rsidRPr="00EC0B05">
              <w:rPr>
                <w:rFonts w:asciiTheme="minorHAnsi" w:eastAsiaTheme="minorHAnsi" w:hAnsiTheme="minorHAnsi" w:cstheme="minorBidi"/>
                <w:w w:val="110"/>
              </w:rPr>
              <w:t xml:space="preserve">Properties at the low or high end of the value range for the neighborhood, </w:t>
            </w:r>
          </w:p>
          <w:p w14:paraId="7AC0F174" w14:textId="77777777" w:rsidR="009C5F67" w:rsidRPr="00EC0B05" w:rsidRDefault="009C5F67" w:rsidP="00A8756A">
            <w:pPr>
              <w:pStyle w:val="BodyText"/>
              <w:numPr>
                <w:ilvl w:val="0"/>
                <w:numId w:val="68"/>
              </w:numPr>
              <w:kinsoku w:val="0"/>
              <w:overflowPunct w:val="0"/>
              <w:ind w:right="162"/>
              <w:rPr>
                <w:rFonts w:asciiTheme="minorHAnsi" w:eastAsiaTheme="minorHAnsi" w:hAnsiTheme="minorHAnsi" w:cstheme="minorBidi"/>
                <w:w w:val="110"/>
              </w:rPr>
            </w:pPr>
            <w:r w:rsidRPr="00EC0B05">
              <w:rPr>
                <w:rFonts w:asciiTheme="minorHAnsi" w:eastAsiaTheme="minorHAnsi" w:hAnsiTheme="minorHAnsi" w:cstheme="minorBidi"/>
                <w:w w:val="110"/>
              </w:rPr>
              <w:t xml:space="preserve">Properties in neighborhoods with declining market values or an over- supply of housing, or </w:t>
            </w:r>
          </w:p>
          <w:p w14:paraId="56FBE228" w14:textId="77777777" w:rsidR="009C5F67" w:rsidRPr="00EC0B05" w:rsidRDefault="009C5F67" w:rsidP="00A8756A">
            <w:pPr>
              <w:pStyle w:val="BodyText"/>
              <w:numPr>
                <w:ilvl w:val="0"/>
                <w:numId w:val="68"/>
              </w:numPr>
              <w:kinsoku w:val="0"/>
              <w:overflowPunct w:val="0"/>
              <w:ind w:right="162"/>
              <w:rPr>
                <w:rFonts w:asciiTheme="minorHAnsi" w:eastAsiaTheme="minorHAnsi" w:hAnsiTheme="minorHAnsi" w:cstheme="minorBidi"/>
                <w:w w:val="110"/>
              </w:rPr>
            </w:pPr>
            <w:r w:rsidRPr="00EC0B05">
              <w:rPr>
                <w:rFonts w:asciiTheme="minorHAnsi" w:eastAsiaTheme="minorHAnsi" w:hAnsiTheme="minorHAnsi" w:cstheme="minorBidi"/>
                <w:w w:val="110"/>
              </w:rPr>
              <w:t xml:space="preserve">Areas with a marketing time of over six months. </w:t>
            </w:r>
          </w:p>
          <w:p w14:paraId="181FEB7B" w14:textId="77777777" w:rsidR="009C5F67" w:rsidRPr="00EC0B05" w:rsidRDefault="009C5F67" w:rsidP="00471F7C">
            <w:pPr>
              <w:pStyle w:val="BodyText"/>
              <w:kinsoku w:val="0"/>
              <w:overflowPunct w:val="0"/>
              <w:ind w:left="720" w:right="162"/>
              <w:rPr>
                <w:rFonts w:asciiTheme="minorHAnsi" w:eastAsiaTheme="minorHAnsi" w:hAnsiTheme="minorHAnsi" w:cstheme="minorBidi"/>
                <w:w w:val="110"/>
              </w:rPr>
            </w:pPr>
          </w:p>
          <w:p w14:paraId="1B998416" w14:textId="77777777" w:rsidR="009C5F67" w:rsidRPr="00EC0B05" w:rsidRDefault="009C5F67" w:rsidP="00471F7C">
            <w:pPr>
              <w:pStyle w:val="BodyText"/>
              <w:kinsoku w:val="0"/>
              <w:overflowPunct w:val="0"/>
              <w:ind w:right="434"/>
              <w:rPr>
                <w:rFonts w:asciiTheme="minorHAnsi" w:eastAsiaTheme="minorHAnsi" w:hAnsiTheme="minorHAnsi" w:cstheme="minorBidi"/>
              </w:rPr>
            </w:pPr>
            <w:r w:rsidRPr="00EC0B05">
              <w:rPr>
                <w:rFonts w:asciiTheme="minorHAnsi" w:eastAsiaTheme="minorHAnsi" w:hAnsiTheme="minorHAnsi" w:cstheme="minorBidi"/>
                <w:w w:val="110"/>
              </w:rPr>
              <w:t>Please refer to current B of I LTV Matrix for LTV guidelines.</w:t>
            </w:r>
          </w:p>
        </w:tc>
      </w:tr>
      <w:tr w:rsidR="00EC0B05" w:rsidRPr="00EC0B05" w14:paraId="7FBF0F8F" w14:textId="77777777" w:rsidTr="0063752F">
        <w:tc>
          <w:tcPr>
            <w:tcW w:w="1336" w:type="pct"/>
          </w:tcPr>
          <w:p w14:paraId="4D075CCD" w14:textId="5AAAA020" w:rsidR="00204074" w:rsidRPr="0068676B" w:rsidRDefault="00204074" w:rsidP="00471F7C">
            <w:pPr>
              <w:pStyle w:val="NoSpacing"/>
              <w:rPr>
                <w:b/>
                <w:sz w:val="21"/>
                <w:szCs w:val="21"/>
              </w:rPr>
            </w:pPr>
            <w:bookmarkStart w:id="64" w:name="MERS"/>
            <w:r w:rsidRPr="0068676B">
              <w:rPr>
                <w:b/>
                <w:sz w:val="21"/>
                <w:szCs w:val="21"/>
              </w:rPr>
              <w:lastRenderedPageBreak/>
              <w:t>MERS</w:t>
            </w:r>
            <w:bookmarkEnd w:id="64"/>
          </w:p>
        </w:tc>
        <w:tc>
          <w:tcPr>
            <w:tcW w:w="3664" w:type="pct"/>
            <w:vAlign w:val="center"/>
          </w:tcPr>
          <w:p w14:paraId="2E80014F" w14:textId="77777777" w:rsidR="00204074" w:rsidRPr="0078788B" w:rsidRDefault="0078788B">
            <w:pPr>
              <w:rPr>
                <w:sz w:val="21"/>
                <w:szCs w:val="21"/>
              </w:rPr>
            </w:pPr>
            <w:r>
              <w:rPr>
                <w:sz w:val="21"/>
                <w:szCs w:val="21"/>
              </w:rPr>
              <w:t>MERS ID number is 1007359.</w:t>
            </w:r>
          </w:p>
        </w:tc>
      </w:tr>
      <w:tr w:rsidR="00EC0B05" w:rsidRPr="00EC0B05" w14:paraId="1149A4A5" w14:textId="77777777" w:rsidTr="0063752F">
        <w:tc>
          <w:tcPr>
            <w:tcW w:w="1336" w:type="pct"/>
          </w:tcPr>
          <w:p w14:paraId="5FC4D550" w14:textId="77777777" w:rsidR="000016AE" w:rsidRPr="0068676B" w:rsidRDefault="000016AE" w:rsidP="00471F7C">
            <w:pPr>
              <w:rPr>
                <w:b/>
                <w:sz w:val="21"/>
                <w:szCs w:val="21"/>
              </w:rPr>
            </w:pPr>
            <w:bookmarkStart w:id="65" w:name="Mold_inspec_rpt"/>
            <w:r w:rsidRPr="0068676B">
              <w:rPr>
                <w:b/>
                <w:sz w:val="21"/>
                <w:szCs w:val="21"/>
              </w:rPr>
              <w:t>Mold Inspection Report</w:t>
            </w:r>
            <w:bookmarkEnd w:id="65"/>
          </w:p>
        </w:tc>
        <w:tc>
          <w:tcPr>
            <w:tcW w:w="3664" w:type="pct"/>
          </w:tcPr>
          <w:p w14:paraId="1D383B5A" w14:textId="77777777" w:rsidR="000016AE" w:rsidRPr="00EC0B05" w:rsidRDefault="000016AE">
            <w:pPr>
              <w:pStyle w:val="BodyText"/>
              <w:kinsoku w:val="0"/>
              <w:overflowPunct w:val="0"/>
              <w:spacing w:before="1"/>
              <w:rPr>
                <w:rFonts w:asciiTheme="minorHAnsi" w:hAnsiTheme="minorHAnsi"/>
                <w:b/>
              </w:rPr>
            </w:pPr>
            <w:r w:rsidRPr="00EC0B05">
              <w:rPr>
                <w:rFonts w:asciiTheme="minorHAnsi" w:eastAsiaTheme="minorHAnsi" w:hAnsiTheme="minorHAnsi" w:cstheme="minorBidi"/>
                <w:w w:val="110"/>
              </w:rPr>
              <w:t>A mold inspection report will be required if mold or dampness   is referenced in the appraisal.</w:t>
            </w:r>
          </w:p>
        </w:tc>
      </w:tr>
      <w:tr w:rsidR="00EC0B05" w:rsidRPr="00EC0B05" w14:paraId="62FE9642" w14:textId="77777777" w:rsidTr="0063752F">
        <w:tc>
          <w:tcPr>
            <w:tcW w:w="1336" w:type="pct"/>
          </w:tcPr>
          <w:p w14:paraId="513E0337" w14:textId="77777777" w:rsidR="000016AE" w:rsidRPr="0068676B" w:rsidRDefault="000016AE" w:rsidP="00471F7C">
            <w:pPr>
              <w:rPr>
                <w:b/>
                <w:sz w:val="21"/>
                <w:szCs w:val="21"/>
              </w:rPr>
            </w:pPr>
            <w:bookmarkStart w:id="66" w:name="mortgage_asump"/>
            <w:r w:rsidRPr="0068676B">
              <w:rPr>
                <w:b/>
                <w:sz w:val="21"/>
                <w:szCs w:val="21"/>
              </w:rPr>
              <w:t>Mortgage assumptions</w:t>
            </w:r>
            <w:bookmarkEnd w:id="66"/>
          </w:p>
        </w:tc>
        <w:tc>
          <w:tcPr>
            <w:tcW w:w="3664" w:type="pct"/>
          </w:tcPr>
          <w:p w14:paraId="530E3470" w14:textId="77777777" w:rsidR="000016AE" w:rsidRPr="0016706F" w:rsidRDefault="000016AE">
            <w:pPr>
              <w:tabs>
                <w:tab w:val="left" w:pos="2610"/>
                <w:tab w:val="left" w:pos="2790"/>
              </w:tabs>
              <w:contextualSpacing/>
              <w:rPr>
                <w:w w:val="110"/>
                <w:sz w:val="21"/>
                <w:szCs w:val="21"/>
              </w:rPr>
            </w:pPr>
            <w:r w:rsidRPr="0016706F">
              <w:rPr>
                <w:w w:val="110"/>
                <w:sz w:val="21"/>
                <w:szCs w:val="21"/>
              </w:rPr>
              <w:t>If an applicant had a mortgage loan assumed by another party, the contingent liability may not be included in the applicant's underwriting ratios, if a copy of the formal assumption agreement (with or without release of liability) and evidence of the transfer of ownership are provided.  This contingent liability should be apparent on the credit documentation.</w:t>
            </w:r>
          </w:p>
        </w:tc>
      </w:tr>
      <w:tr w:rsidR="00EC0B05" w:rsidRPr="00EC0B05" w14:paraId="06911F8E" w14:textId="77777777" w:rsidTr="0063752F">
        <w:tc>
          <w:tcPr>
            <w:tcW w:w="1336" w:type="pct"/>
          </w:tcPr>
          <w:p w14:paraId="5BD75F8E" w14:textId="77777777" w:rsidR="00EA0DAC" w:rsidRPr="0068676B" w:rsidRDefault="00EA0DAC" w:rsidP="00471F7C">
            <w:pPr>
              <w:pStyle w:val="NoSpacing"/>
              <w:rPr>
                <w:b/>
                <w:sz w:val="21"/>
                <w:szCs w:val="21"/>
              </w:rPr>
            </w:pPr>
            <w:bookmarkStart w:id="67" w:name="Mortgagee_Clause"/>
            <w:r w:rsidRPr="0068676B">
              <w:rPr>
                <w:b/>
                <w:sz w:val="21"/>
                <w:szCs w:val="21"/>
              </w:rPr>
              <w:t>Mortgagee Clause</w:t>
            </w:r>
            <w:bookmarkEnd w:id="67"/>
          </w:p>
        </w:tc>
        <w:tc>
          <w:tcPr>
            <w:tcW w:w="3664" w:type="pct"/>
          </w:tcPr>
          <w:p w14:paraId="081E1ED2" w14:textId="796374C9" w:rsidR="00EA0DAC" w:rsidRPr="0016706F" w:rsidRDefault="002D1DA1" w:rsidP="00937D12">
            <w:pPr>
              <w:rPr>
                <w:color w:val="000000" w:themeColor="text1"/>
                <w:sz w:val="21"/>
                <w:szCs w:val="21"/>
              </w:rPr>
            </w:pPr>
            <w:r>
              <w:rPr>
                <w:sz w:val="21"/>
                <w:szCs w:val="21"/>
              </w:rPr>
              <w:t>Axos Bank</w:t>
            </w:r>
            <w:r w:rsidR="00EA0DAC" w:rsidRPr="0016706F">
              <w:rPr>
                <w:sz w:val="21"/>
                <w:szCs w:val="21"/>
              </w:rPr>
              <w:t>, Its Successors and/or Assigns</w:t>
            </w:r>
            <w:r w:rsidR="004F64D8" w:rsidRPr="0016706F">
              <w:rPr>
                <w:sz w:val="21"/>
                <w:szCs w:val="21"/>
              </w:rPr>
              <w:t>,</w:t>
            </w:r>
            <w:r w:rsidR="00EA0DAC" w:rsidRPr="0016706F">
              <w:rPr>
                <w:sz w:val="21"/>
                <w:szCs w:val="21"/>
              </w:rPr>
              <w:t xml:space="preserve"> </w:t>
            </w:r>
            <w:r w:rsidR="004F64D8" w:rsidRPr="0016706F">
              <w:rPr>
                <w:color w:val="000000" w:themeColor="text1"/>
                <w:sz w:val="21"/>
                <w:szCs w:val="21"/>
              </w:rPr>
              <w:t xml:space="preserve">P O </w:t>
            </w:r>
            <w:r w:rsidR="00072419" w:rsidRPr="0016706F">
              <w:rPr>
                <w:color w:val="000000" w:themeColor="text1"/>
                <w:sz w:val="21"/>
                <w:szCs w:val="21"/>
              </w:rPr>
              <w:t>Box 401420, Las Vegas, NV 89140</w:t>
            </w:r>
          </w:p>
        </w:tc>
      </w:tr>
      <w:tr w:rsidR="00EC0B05" w:rsidRPr="00EC0B05" w14:paraId="7B6C03FD" w14:textId="77777777" w:rsidTr="0063752F">
        <w:tc>
          <w:tcPr>
            <w:tcW w:w="1336" w:type="pct"/>
          </w:tcPr>
          <w:p w14:paraId="08744615" w14:textId="77777777" w:rsidR="000016AE" w:rsidRPr="00EC0B05" w:rsidRDefault="000016AE" w:rsidP="00471F7C">
            <w:pPr>
              <w:rPr>
                <w:b/>
                <w:sz w:val="21"/>
                <w:szCs w:val="21"/>
              </w:rPr>
            </w:pPr>
            <w:bookmarkStart w:id="68" w:name="mort_hist"/>
            <w:r w:rsidRPr="00EC0B05">
              <w:rPr>
                <w:b/>
                <w:sz w:val="21"/>
                <w:szCs w:val="21"/>
              </w:rPr>
              <w:t>Mortgage History</w:t>
            </w:r>
            <w:bookmarkEnd w:id="68"/>
          </w:p>
        </w:tc>
        <w:tc>
          <w:tcPr>
            <w:tcW w:w="3664" w:type="pct"/>
          </w:tcPr>
          <w:p w14:paraId="205CA439" w14:textId="77777777" w:rsidR="00072419" w:rsidRDefault="000016AE">
            <w:pPr>
              <w:autoSpaceDE w:val="0"/>
              <w:autoSpaceDN w:val="0"/>
              <w:adjustRightInd w:val="0"/>
              <w:contextualSpacing/>
              <w:rPr>
                <w:w w:val="110"/>
                <w:sz w:val="21"/>
                <w:szCs w:val="21"/>
              </w:rPr>
            </w:pPr>
            <w:r w:rsidRPr="00EC0B05">
              <w:rPr>
                <w:w w:val="110"/>
                <w:sz w:val="21"/>
                <w:szCs w:val="21"/>
              </w:rPr>
              <w:t xml:space="preserve">Review the borrower's credit report to determine the status of all mortgage accounts.  If a borrower had previous mortgages, a credit report, which includes a reference to the mortgage(s) and reflects twelve months of the most recent payment activity, is acceptable verification.  </w:t>
            </w:r>
          </w:p>
          <w:p w14:paraId="46599E02" w14:textId="77777777" w:rsidR="00072419" w:rsidRDefault="00072419">
            <w:pPr>
              <w:autoSpaceDE w:val="0"/>
              <w:autoSpaceDN w:val="0"/>
              <w:adjustRightInd w:val="0"/>
              <w:contextualSpacing/>
              <w:rPr>
                <w:w w:val="110"/>
                <w:sz w:val="21"/>
                <w:szCs w:val="21"/>
              </w:rPr>
            </w:pPr>
          </w:p>
          <w:p w14:paraId="6FB14FA5" w14:textId="1D14E9CA" w:rsidR="000016AE" w:rsidRPr="00EC0B05" w:rsidRDefault="000016AE">
            <w:pPr>
              <w:autoSpaceDE w:val="0"/>
              <w:autoSpaceDN w:val="0"/>
              <w:adjustRightInd w:val="0"/>
              <w:contextualSpacing/>
              <w:rPr>
                <w:w w:val="110"/>
                <w:sz w:val="21"/>
                <w:szCs w:val="21"/>
              </w:rPr>
            </w:pPr>
            <w:r w:rsidRPr="00EC0B05">
              <w:rPr>
                <w:w w:val="110"/>
                <w:sz w:val="21"/>
                <w:szCs w:val="21"/>
              </w:rPr>
              <w:t>If adequate mortgage payment history is not included in the borrower’s credit report, the following must be utilized to verify the borrower’s payment history on a previous mortgage(s):</w:t>
            </w:r>
          </w:p>
          <w:p w14:paraId="004959BE" w14:textId="77777777" w:rsidR="000016AE" w:rsidRPr="00EC0B05" w:rsidRDefault="00F166CB" w:rsidP="00A8756A">
            <w:pPr>
              <w:pStyle w:val="ListParagraph"/>
              <w:numPr>
                <w:ilvl w:val="0"/>
                <w:numId w:val="31"/>
              </w:numPr>
              <w:autoSpaceDE w:val="0"/>
              <w:autoSpaceDN w:val="0"/>
              <w:adjustRightInd w:val="0"/>
              <w:ind w:left="702"/>
              <w:rPr>
                <w:w w:val="110"/>
                <w:sz w:val="21"/>
                <w:szCs w:val="21"/>
              </w:rPr>
            </w:pPr>
            <w:r>
              <w:rPr>
                <w:w w:val="110"/>
                <w:sz w:val="21"/>
                <w:szCs w:val="21"/>
              </w:rPr>
              <w:t>A</w:t>
            </w:r>
            <w:r w:rsidR="000016AE" w:rsidRPr="00EC0B05">
              <w:rPr>
                <w:w w:val="110"/>
                <w:sz w:val="21"/>
                <w:szCs w:val="21"/>
              </w:rPr>
              <w:t xml:space="preserve"> standard mortgage verification;</w:t>
            </w:r>
          </w:p>
          <w:p w14:paraId="1904779D" w14:textId="77777777" w:rsidR="000016AE" w:rsidRPr="00EC0B05" w:rsidRDefault="00F166CB" w:rsidP="00A8756A">
            <w:pPr>
              <w:pStyle w:val="ListParagraph"/>
              <w:numPr>
                <w:ilvl w:val="0"/>
                <w:numId w:val="31"/>
              </w:numPr>
              <w:ind w:left="702"/>
              <w:rPr>
                <w:w w:val="110"/>
                <w:sz w:val="21"/>
                <w:szCs w:val="21"/>
              </w:rPr>
            </w:pPr>
            <w:r>
              <w:rPr>
                <w:w w:val="110"/>
                <w:sz w:val="21"/>
                <w:szCs w:val="21"/>
              </w:rPr>
              <w:t>L</w:t>
            </w:r>
            <w:r w:rsidR="000016AE" w:rsidRPr="00EC0B05">
              <w:rPr>
                <w:w w:val="110"/>
                <w:sz w:val="21"/>
                <w:szCs w:val="21"/>
              </w:rPr>
              <w:t>oan payment history from the servicer;</w:t>
            </w:r>
          </w:p>
          <w:p w14:paraId="5B6D6E3E" w14:textId="77777777" w:rsidR="000016AE" w:rsidRPr="00EC0B05" w:rsidRDefault="00F166CB" w:rsidP="00A8756A">
            <w:pPr>
              <w:pStyle w:val="ListParagraph"/>
              <w:numPr>
                <w:ilvl w:val="0"/>
                <w:numId w:val="31"/>
              </w:numPr>
              <w:ind w:left="702"/>
              <w:rPr>
                <w:w w:val="110"/>
                <w:sz w:val="21"/>
                <w:szCs w:val="21"/>
              </w:rPr>
            </w:pPr>
            <w:r>
              <w:rPr>
                <w:w w:val="110"/>
                <w:sz w:val="21"/>
                <w:szCs w:val="21"/>
              </w:rPr>
              <w:t>T</w:t>
            </w:r>
            <w:r w:rsidR="000016AE" w:rsidRPr="00EC0B05">
              <w:rPr>
                <w:w w:val="110"/>
                <w:sz w:val="21"/>
                <w:szCs w:val="21"/>
              </w:rPr>
              <w:t>he borrower’s canceled checks for the last twelve months; or</w:t>
            </w:r>
          </w:p>
          <w:p w14:paraId="102B2F2D" w14:textId="77777777" w:rsidR="000016AE" w:rsidRPr="00EC0B05" w:rsidRDefault="000016AE" w:rsidP="00A8756A">
            <w:pPr>
              <w:pStyle w:val="ListParagraph"/>
              <w:numPr>
                <w:ilvl w:val="0"/>
                <w:numId w:val="31"/>
              </w:numPr>
              <w:autoSpaceDE w:val="0"/>
              <w:autoSpaceDN w:val="0"/>
              <w:adjustRightInd w:val="0"/>
              <w:ind w:left="702"/>
              <w:rPr>
                <w:w w:val="110"/>
                <w:sz w:val="21"/>
                <w:szCs w:val="21"/>
              </w:rPr>
            </w:pPr>
            <w:r w:rsidRPr="00EC0B05">
              <w:rPr>
                <w:w w:val="110"/>
                <w:sz w:val="21"/>
                <w:szCs w:val="21"/>
              </w:rPr>
              <w:t>The borrower’s year-end mortgage account statement provided the statement includes a payment receipt history, and, if applicable, canceled checks for the months elapsed since the year-end mortgage account statement was issued.</w:t>
            </w:r>
          </w:p>
          <w:p w14:paraId="63BD978E" w14:textId="77777777" w:rsidR="000016AE" w:rsidRPr="00EC0B05" w:rsidRDefault="000016AE" w:rsidP="00471F7C">
            <w:pPr>
              <w:contextualSpacing/>
              <w:rPr>
                <w:sz w:val="21"/>
                <w:szCs w:val="21"/>
              </w:rPr>
            </w:pPr>
            <w:r w:rsidRPr="00EC0B05">
              <w:rPr>
                <w:w w:val="110"/>
                <w:sz w:val="21"/>
                <w:szCs w:val="21"/>
              </w:rPr>
              <w:t xml:space="preserve">Loans with excessive prior mortgage delinquencies should not be eligible for exceptions to policy or deviations to guidelines.  Excessive prior mortgage delinquency is defined as any mortgage trade line that has one or more 60-, 90-, 120-, or 150-day delinquency reported within the 12 months prior to the credit report date. </w:t>
            </w:r>
          </w:p>
        </w:tc>
      </w:tr>
      <w:tr w:rsidR="00EC0B05" w:rsidRPr="00EC0B05" w14:paraId="059800FD" w14:textId="77777777" w:rsidTr="0063752F">
        <w:tc>
          <w:tcPr>
            <w:tcW w:w="1336" w:type="pct"/>
          </w:tcPr>
          <w:p w14:paraId="79E20634" w14:textId="77777777" w:rsidR="000016AE" w:rsidRPr="00EC0B05" w:rsidRDefault="00D35107" w:rsidP="00471F7C">
            <w:pPr>
              <w:rPr>
                <w:b/>
                <w:w w:val="110"/>
                <w:sz w:val="21"/>
                <w:szCs w:val="21"/>
              </w:rPr>
            </w:pPr>
            <w:bookmarkStart w:id="69" w:name="non_ARM"/>
            <w:r>
              <w:rPr>
                <w:b/>
                <w:w w:val="110"/>
                <w:sz w:val="21"/>
                <w:szCs w:val="21"/>
              </w:rPr>
              <w:t>Non Arm</w:t>
            </w:r>
            <w:r w:rsidR="000016AE" w:rsidRPr="00EC0B05">
              <w:rPr>
                <w:b/>
                <w:w w:val="110"/>
                <w:sz w:val="21"/>
                <w:szCs w:val="21"/>
              </w:rPr>
              <w:t>’s Length</w:t>
            </w:r>
            <w:bookmarkEnd w:id="69"/>
          </w:p>
        </w:tc>
        <w:tc>
          <w:tcPr>
            <w:tcW w:w="3664" w:type="pct"/>
          </w:tcPr>
          <w:p w14:paraId="6F14FE7C" w14:textId="16C6BE88" w:rsidR="000016AE" w:rsidRPr="00EC0B05" w:rsidRDefault="000016AE" w:rsidP="00DF4668">
            <w:pPr>
              <w:contextualSpacing/>
              <w:rPr>
                <w:w w:val="110"/>
                <w:sz w:val="21"/>
                <w:szCs w:val="21"/>
              </w:rPr>
            </w:pPr>
            <w:r w:rsidRPr="00EC0B05">
              <w:rPr>
                <w:w w:val="110"/>
                <w:sz w:val="21"/>
                <w:szCs w:val="21"/>
              </w:rPr>
              <w:t>Transactions with Family Members - The following requirements apply when a non-arm’s length transaction involves a family member</w:t>
            </w:r>
            <w:r w:rsidR="000739CD">
              <w:rPr>
                <w:w w:val="110"/>
                <w:sz w:val="21"/>
                <w:szCs w:val="21"/>
              </w:rPr>
              <w:t xml:space="preserve"> (specifically, the borrower’s spouse, registered domestic partner, fiancé or fiancée, child, parent, or any other individual related to the borrower by blood, adoption, or legal guardianship)</w:t>
            </w:r>
            <w:r w:rsidRPr="00EC0B05">
              <w:rPr>
                <w:w w:val="110"/>
                <w:sz w:val="21"/>
                <w:szCs w:val="21"/>
              </w:rPr>
              <w:t>:</w:t>
            </w:r>
            <w:r w:rsidRPr="00EC0B05">
              <w:rPr>
                <w:w w:val="110"/>
                <w:sz w:val="21"/>
                <w:szCs w:val="21"/>
              </w:rPr>
              <w:tab/>
            </w:r>
            <w:r w:rsidRPr="00EC0B05">
              <w:rPr>
                <w:w w:val="110"/>
                <w:sz w:val="21"/>
                <w:szCs w:val="21"/>
              </w:rPr>
              <w:tab/>
            </w:r>
          </w:p>
          <w:p w14:paraId="5DEB80CA" w14:textId="77777777" w:rsidR="000016AE" w:rsidRPr="00EC0B05" w:rsidRDefault="000016AE" w:rsidP="00A8756A">
            <w:pPr>
              <w:pStyle w:val="ListParagraph"/>
              <w:numPr>
                <w:ilvl w:val="0"/>
                <w:numId w:val="16"/>
              </w:numPr>
              <w:rPr>
                <w:w w:val="110"/>
                <w:sz w:val="21"/>
                <w:szCs w:val="21"/>
              </w:rPr>
            </w:pPr>
            <w:r w:rsidRPr="00EC0B05">
              <w:rPr>
                <w:w w:val="110"/>
                <w:sz w:val="21"/>
                <w:szCs w:val="21"/>
              </w:rPr>
              <w:lastRenderedPageBreak/>
              <w:t xml:space="preserve">An executed purchase or sales agreement between the purchaser and the family member is in the loan file. </w:t>
            </w:r>
          </w:p>
          <w:p w14:paraId="2EB8B16E" w14:textId="77777777" w:rsidR="000016AE" w:rsidRPr="00EC0B05" w:rsidRDefault="000016AE" w:rsidP="00A8756A">
            <w:pPr>
              <w:pStyle w:val="ListParagraph"/>
              <w:numPr>
                <w:ilvl w:val="0"/>
                <w:numId w:val="16"/>
              </w:numPr>
              <w:rPr>
                <w:w w:val="110"/>
                <w:sz w:val="21"/>
                <w:szCs w:val="21"/>
              </w:rPr>
            </w:pPr>
            <w:r w:rsidRPr="00EC0B05">
              <w:rPr>
                <w:w w:val="110"/>
                <w:sz w:val="21"/>
                <w:szCs w:val="21"/>
              </w:rPr>
              <w:t xml:space="preserve">The source and ownership of funds for the down payment, closing costs, and reserves are well documented in the loan file. </w:t>
            </w:r>
          </w:p>
          <w:p w14:paraId="7E7B9FF3" w14:textId="77777777" w:rsidR="000016AE" w:rsidRPr="00EC0B05" w:rsidRDefault="000016AE" w:rsidP="00A8756A">
            <w:pPr>
              <w:pStyle w:val="ListParagraph"/>
              <w:numPr>
                <w:ilvl w:val="0"/>
                <w:numId w:val="16"/>
              </w:numPr>
              <w:rPr>
                <w:w w:val="110"/>
                <w:sz w:val="21"/>
                <w:szCs w:val="21"/>
              </w:rPr>
            </w:pPr>
            <w:r w:rsidRPr="00EC0B05">
              <w:rPr>
                <w:w w:val="110"/>
                <w:sz w:val="21"/>
                <w:szCs w:val="21"/>
              </w:rPr>
              <w:t>Seller may not be delinquent on their mortgage(s) or in a short sale transaction.  A copy of the demand for payoff for the existing mortgage(s) should be obtained for verification.</w:t>
            </w:r>
          </w:p>
          <w:p w14:paraId="67B4290F" w14:textId="77777777" w:rsidR="000016AE" w:rsidRPr="00EC0B05" w:rsidRDefault="000016AE" w:rsidP="00A8756A">
            <w:pPr>
              <w:pStyle w:val="ListParagraph"/>
              <w:numPr>
                <w:ilvl w:val="0"/>
                <w:numId w:val="16"/>
              </w:numPr>
              <w:rPr>
                <w:w w:val="110"/>
                <w:sz w:val="21"/>
                <w:szCs w:val="21"/>
              </w:rPr>
            </w:pPr>
            <w:r w:rsidRPr="00EC0B05">
              <w:rPr>
                <w:w w:val="110"/>
                <w:sz w:val="21"/>
                <w:szCs w:val="21"/>
              </w:rPr>
              <w:t>If the borrower is not providing a down payment towards the purchase of the hom</w:t>
            </w:r>
            <w:r w:rsidR="000E1841" w:rsidRPr="00EC0B05">
              <w:rPr>
                <w:w w:val="110"/>
                <w:sz w:val="21"/>
                <w:szCs w:val="21"/>
              </w:rPr>
              <w:t>e, the maximum LTV is 50%</w:t>
            </w:r>
            <w:r w:rsidRPr="00EC0B05">
              <w:rPr>
                <w:w w:val="110"/>
                <w:sz w:val="21"/>
                <w:szCs w:val="21"/>
              </w:rPr>
              <w:t xml:space="preserve">.  </w:t>
            </w:r>
          </w:p>
        </w:tc>
      </w:tr>
      <w:tr w:rsidR="00EC0B05" w:rsidRPr="00EC0B05" w14:paraId="36884A59" w14:textId="77777777" w:rsidTr="0063752F">
        <w:tc>
          <w:tcPr>
            <w:tcW w:w="1336" w:type="pct"/>
          </w:tcPr>
          <w:p w14:paraId="336AA9E6" w14:textId="77777777" w:rsidR="000016AE" w:rsidRPr="00EC0B05" w:rsidRDefault="000016AE" w:rsidP="00471F7C">
            <w:pPr>
              <w:rPr>
                <w:b/>
                <w:w w:val="110"/>
                <w:sz w:val="21"/>
                <w:szCs w:val="21"/>
              </w:rPr>
            </w:pPr>
            <w:bookmarkStart w:id="70" w:name="non_occupant"/>
            <w:r w:rsidRPr="00EC0B05">
              <w:rPr>
                <w:b/>
                <w:w w:val="110"/>
                <w:sz w:val="21"/>
                <w:szCs w:val="21"/>
              </w:rPr>
              <w:lastRenderedPageBreak/>
              <w:t>Non Occupant Co-Borrowers</w:t>
            </w:r>
            <w:bookmarkEnd w:id="70"/>
          </w:p>
        </w:tc>
        <w:tc>
          <w:tcPr>
            <w:tcW w:w="3664" w:type="pct"/>
          </w:tcPr>
          <w:p w14:paraId="770F9255" w14:textId="77777777" w:rsidR="00072419" w:rsidRDefault="000016AE">
            <w:pPr>
              <w:contextualSpacing/>
              <w:jc w:val="both"/>
              <w:rPr>
                <w:w w:val="110"/>
                <w:sz w:val="21"/>
                <w:szCs w:val="21"/>
              </w:rPr>
            </w:pPr>
            <w:r w:rsidRPr="00EC0B05">
              <w:rPr>
                <w:w w:val="110"/>
                <w:sz w:val="21"/>
                <w:szCs w:val="21"/>
              </w:rPr>
              <w:t xml:space="preserve">A guarantor or co-signer is a credit applicant who may not have an ownership interest in the security property, but who signs the Note and thus shares joint liability of the note with the applicant who is the owner of the property.   </w:t>
            </w:r>
          </w:p>
          <w:p w14:paraId="2C2DD161" w14:textId="77777777" w:rsidR="00072419" w:rsidRDefault="00072419">
            <w:pPr>
              <w:contextualSpacing/>
              <w:jc w:val="both"/>
              <w:rPr>
                <w:w w:val="110"/>
                <w:sz w:val="21"/>
                <w:szCs w:val="21"/>
              </w:rPr>
            </w:pPr>
          </w:p>
          <w:p w14:paraId="1E04BB0B" w14:textId="75CB0A72" w:rsidR="000016AE" w:rsidRPr="00EC0B05" w:rsidRDefault="000016AE">
            <w:pPr>
              <w:contextualSpacing/>
              <w:jc w:val="both"/>
              <w:rPr>
                <w:w w:val="110"/>
                <w:sz w:val="21"/>
                <w:szCs w:val="21"/>
              </w:rPr>
            </w:pPr>
            <w:r w:rsidRPr="00EC0B05">
              <w:rPr>
                <w:w w:val="110"/>
                <w:sz w:val="21"/>
                <w:szCs w:val="21"/>
              </w:rPr>
              <w:t xml:space="preserve">The occupying borrower and non-occupying co-borrower must have sufficient combined income and liquidity to qualify under </w:t>
            </w:r>
            <w:r w:rsidR="002D1DA1">
              <w:rPr>
                <w:w w:val="110"/>
                <w:sz w:val="21"/>
                <w:szCs w:val="21"/>
              </w:rPr>
              <w:t>Axos Bank</w:t>
            </w:r>
            <w:r w:rsidR="00EE0499">
              <w:rPr>
                <w:w w:val="110"/>
                <w:sz w:val="21"/>
                <w:szCs w:val="21"/>
              </w:rPr>
              <w:t xml:space="preserve">’s standard requirements. </w:t>
            </w:r>
            <w:r w:rsidRPr="00EC0B05">
              <w:rPr>
                <w:w w:val="110"/>
                <w:sz w:val="21"/>
                <w:szCs w:val="21"/>
              </w:rPr>
              <w:t>The use of a non-occupant co-borrower is limited to purchase transactions and rate and term refinance transactions.</w:t>
            </w:r>
          </w:p>
        </w:tc>
      </w:tr>
      <w:tr w:rsidR="00EC0B05" w:rsidRPr="00EC0B05" w14:paraId="402E99D0" w14:textId="77777777" w:rsidTr="0063752F">
        <w:tc>
          <w:tcPr>
            <w:tcW w:w="1336" w:type="pct"/>
          </w:tcPr>
          <w:p w14:paraId="2598F866" w14:textId="77777777" w:rsidR="000016AE" w:rsidRPr="00EC0B05" w:rsidRDefault="000016AE" w:rsidP="00471F7C">
            <w:pPr>
              <w:rPr>
                <w:b/>
                <w:sz w:val="21"/>
                <w:szCs w:val="21"/>
              </w:rPr>
            </w:pPr>
            <w:bookmarkStart w:id="71" w:name="non_tradtl_credit"/>
            <w:r w:rsidRPr="00EC0B05">
              <w:rPr>
                <w:b/>
                <w:sz w:val="21"/>
                <w:szCs w:val="21"/>
              </w:rPr>
              <w:t>Non Traditional Credit</w:t>
            </w:r>
            <w:bookmarkEnd w:id="71"/>
          </w:p>
        </w:tc>
        <w:tc>
          <w:tcPr>
            <w:tcW w:w="3664" w:type="pct"/>
          </w:tcPr>
          <w:p w14:paraId="787E2024" w14:textId="77777777" w:rsidR="000016AE" w:rsidRPr="00EC0B05" w:rsidRDefault="000016AE">
            <w:pPr>
              <w:autoSpaceDE w:val="0"/>
              <w:autoSpaceDN w:val="0"/>
              <w:adjustRightInd w:val="0"/>
              <w:contextualSpacing/>
              <w:rPr>
                <w:w w:val="110"/>
                <w:sz w:val="21"/>
                <w:szCs w:val="21"/>
              </w:rPr>
            </w:pPr>
            <w:r w:rsidRPr="00EC0B05">
              <w:rPr>
                <w:w w:val="110"/>
                <w:sz w:val="21"/>
                <w:szCs w:val="21"/>
              </w:rPr>
              <w:t>If a borrower does not have the types of credit, which would appear on traditional credit reports, or if the borrower does not have sufficient number of credit references to develop a traditional credit report, it is acceptable to obtain alternative credit.  Examples of non-traditional credit are:</w:t>
            </w:r>
          </w:p>
          <w:p w14:paraId="1920F20A" w14:textId="77777777" w:rsidR="00E96C8F" w:rsidRDefault="00E96C8F" w:rsidP="00A8756A">
            <w:pPr>
              <w:pStyle w:val="ListParagraph"/>
              <w:numPr>
                <w:ilvl w:val="0"/>
                <w:numId w:val="76"/>
              </w:numPr>
              <w:autoSpaceDE w:val="0"/>
              <w:autoSpaceDN w:val="0"/>
              <w:adjustRightInd w:val="0"/>
              <w:rPr>
                <w:w w:val="110"/>
                <w:sz w:val="21"/>
                <w:szCs w:val="21"/>
              </w:rPr>
            </w:pPr>
            <w:r>
              <w:rPr>
                <w:w w:val="110"/>
                <w:sz w:val="21"/>
                <w:szCs w:val="21"/>
              </w:rPr>
              <w:t>Cell phone payments;</w:t>
            </w:r>
            <w:r w:rsidR="000016AE" w:rsidRPr="00E96C8F">
              <w:rPr>
                <w:w w:val="110"/>
                <w:sz w:val="21"/>
                <w:szCs w:val="21"/>
              </w:rPr>
              <w:t xml:space="preserve"> </w:t>
            </w:r>
          </w:p>
          <w:p w14:paraId="6848FA1E" w14:textId="77777777" w:rsidR="00E96C8F" w:rsidRDefault="00E96C8F" w:rsidP="00A8756A">
            <w:pPr>
              <w:pStyle w:val="ListParagraph"/>
              <w:numPr>
                <w:ilvl w:val="0"/>
                <w:numId w:val="76"/>
              </w:numPr>
              <w:autoSpaceDE w:val="0"/>
              <w:autoSpaceDN w:val="0"/>
              <w:adjustRightInd w:val="0"/>
              <w:rPr>
                <w:w w:val="110"/>
                <w:sz w:val="21"/>
                <w:szCs w:val="21"/>
              </w:rPr>
            </w:pPr>
            <w:r>
              <w:rPr>
                <w:w w:val="110"/>
                <w:sz w:val="21"/>
                <w:szCs w:val="21"/>
              </w:rPr>
              <w:t xml:space="preserve">Utility bills; </w:t>
            </w:r>
          </w:p>
          <w:p w14:paraId="72CBA033" w14:textId="77777777" w:rsidR="00E96C8F" w:rsidRDefault="00E96C8F" w:rsidP="00A8756A">
            <w:pPr>
              <w:pStyle w:val="ListParagraph"/>
              <w:numPr>
                <w:ilvl w:val="0"/>
                <w:numId w:val="76"/>
              </w:numPr>
              <w:autoSpaceDE w:val="0"/>
              <w:autoSpaceDN w:val="0"/>
              <w:adjustRightInd w:val="0"/>
              <w:rPr>
                <w:w w:val="110"/>
                <w:sz w:val="21"/>
                <w:szCs w:val="21"/>
              </w:rPr>
            </w:pPr>
            <w:r>
              <w:rPr>
                <w:w w:val="110"/>
                <w:sz w:val="21"/>
                <w:szCs w:val="21"/>
              </w:rPr>
              <w:t>R</w:t>
            </w:r>
            <w:r w:rsidR="000016AE" w:rsidRPr="00E96C8F">
              <w:rPr>
                <w:w w:val="110"/>
                <w:sz w:val="21"/>
                <w:szCs w:val="21"/>
              </w:rPr>
              <w:t>ent payments</w:t>
            </w:r>
            <w:r>
              <w:rPr>
                <w:w w:val="110"/>
                <w:sz w:val="21"/>
                <w:szCs w:val="21"/>
              </w:rPr>
              <w:t>;</w:t>
            </w:r>
            <w:r w:rsidR="000016AE" w:rsidRPr="00E96C8F">
              <w:rPr>
                <w:w w:val="110"/>
                <w:sz w:val="21"/>
                <w:szCs w:val="21"/>
              </w:rPr>
              <w:t xml:space="preserve"> a</w:t>
            </w:r>
            <w:r>
              <w:rPr>
                <w:w w:val="110"/>
                <w:sz w:val="21"/>
                <w:szCs w:val="21"/>
              </w:rPr>
              <w:t xml:space="preserve">nd </w:t>
            </w:r>
          </w:p>
          <w:p w14:paraId="5A0C5F94" w14:textId="77777777" w:rsidR="00E96C8F" w:rsidRDefault="00E96C8F" w:rsidP="00A8756A">
            <w:pPr>
              <w:pStyle w:val="ListParagraph"/>
              <w:numPr>
                <w:ilvl w:val="0"/>
                <w:numId w:val="76"/>
              </w:numPr>
              <w:autoSpaceDE w:val="0"/>
              <w:autoSpaceDN w:val="0"/>
              <w:adjustRightInd w:val="0"/>
              <w:rPr>
                <w:w w:val="110"/>
                <w:sz w:val="21"/>
                <w:szCs w:val="21"/>
              </w:rPr>
            </w:pPr>
            <w:r>
              <w:rPr>
                <w:w w:val="110"/>
                <w:sz w:val="21"/>
                <w:szCs w:val="21"/>
              </w:rPr>
              <w:t>I</w:t>
            </w:r>
            <w:r w:rsidR="000016AE" w:rsidRPr="00E96C8F">
              <w:rPr>
                <w:w w:val="110"/>
                <w:sz w:val="21"/>
                <w:szCs w:val="21"/>
              </w:rPr>
              <w:t xml:space="preserve">nsurance payments.  </w:t>
            </w:r>
          </w:p>
          <w:p w14:paraId="677A2B1E" w14:textId="77777777" w:rsidR="00E96C8F" w:rsidRDefault="00E96C8F" w:rsidP="00E96C8F">
            <w:pPr>
              <w:autoSpaceDE w:val="0"/>
              <w:autoSpaceDN w:val="0"/>
              <w:adjustRightInd w:val="0"/>
              <w:rPr>
                <w:w w:val="110"/>
                <w:sz w:val="21"/>
                <w:szCs w:val="21"/>
              </w:rPr>
            </w:pPr>
          </w:p>
          <w:p w14:paraId="19A40309" w14:textId="61ABA1F1" w:rsidR="000016AE" w:rsidRPr="00E96C8F" w:rsidRDefault="000016AE" w:rsidP="00E96C8F">
            <w:pPr>
              <w:autoSpaceDE w:val="0"/>
              <w:autoSpaceDN w:val="0"/>
              <w:adjustRightInd w:val="0"/>
              <w:rPr>
                <w:w w:val="110"/>
                <w:sz w:val="21"/>
                <w:szCs w:val="21"/>
              </w:rPr>
            </w:pPr>
            <w:r w:rsidRPr="00E96C8F">
              <w:rPr>
                <w:w w:val="110"/>
                <w:sz w:val="21"/>
                <w:szCs w:val="21"/>
              </w:rPr>
              <w:t>A minimum of 2 non-traditional credit references are required, if non-t</w:t>
            </w:r>
            <w:r w:rsidR="00EE0499">
              <w:rPr>
                <w:w w:val="110"/>
                <w:sz w:val="21"/>
                <w:szCs w:val="21"/>
              </w:rPr>
              <w:t xml:space="preserve">raditional credit is utilized. </w:t>
            </w:r>
            <w:r w:rsidRPr="00E96C8F">
              <w:rPr>
                <w:w w:val="110"/>
                <w:sz w:val="21"/>
                <w:szCs w:val="21"/>
              </w:rPr>
              <w:t xml:space="preserve">If the borrower is not a U.S. Citizen and credit references are from another Country, the documentation must be translated by a certified translator.  </w:t>
            </w:r>
          </w:p>
          <w:p w14:paraId="441530C8" w14:textId="77777777" w:rsidR="000E1841" w:rsidRPr="00EC0B05" w:rsidRDefault="000E1841">
            <w:pPr>
              <w:autoSpaceDE w:val="0"/>
              <w:autoSpaceDN w:val="0"/>
              <w:adjustRightInd w:val="0"/>
              <w:contextualSpacing/>
              <w:rPr>
                <w:w w:val="110"/>
                <w:sz w:val="21"/>
                <w:szCs w:val="21"/>
              </w:rPr>
            </w:pPr>
          </w:p>
          <w:p w14:paraId="7BFD518D" w14:textId="77777777" w:rsidR="000E1841" w:rsidRPr="00EC0B05" w:rsidRDefault="000E1841">
            <w:pPr>
              <w:autoSpaceDE w:val="0"/>
              <w:autoSpaceDN w:val="0"/>
              <w:adjustRightInd w:val="0"/>
              <w:contextualSpacing/>
              <w:rPr>
                <w:w w:val="110"/>
                <w:sz w:val="21"/>
                <w:szCs w:val="21"/>
              </w:rPr>
            </w:pPr>
            <w:r w:rsidRPr="00EC0B05">
              <w:rPr>
                <w:w w:val="110"/>
                <w:sz w:val="21"/>
                <w:szCs w:val="21"/>
              </w:rPr>
              <w:t>Please contact your Account Executive if</w:t>
            </w:r>
            <w:r w:rsidR="004E15A9" w:rsidRPr="00EC0B05">
              <w:rPr>
                <w:w w:val="110"/>
                <w:sz w:val="21"/>
                <w:szCs w:val="21"/>
              </w:rPr>
              <w:t xml:space="preserve"> loan amount requests in excess of $500,000 require non-traditional credit.  </w:t>
            </w:r>
          </w:p>
        </w:tc>
      </w:tr>
      <w:tr w:rsidR="00EC0B05" w:rsidRPr="00EC0B05" w14:paraId="133F2469" w14:textId="77777777" w:rsidTr="0063752F">
        <w:tc>
          <w:tcPr>
            <w:tcW w:w="1336" w:type="pct"/>
          </w:tcPr>
          <w:p w14:paraId="56CFA9B0" w14:textId="77777777" w:rsidR="000016AE" w:rsidRPr="00EC0B05" w:rsidRDefault="000016AE" w:rsidP="00471F7C">
            <w:pPr>
              <w:rPr>
                <w:b/>
                <w:sz w:val="21"/>
                <w:szCs w:val="21"/>
              </w:rPr>
            </w:pPr>
            <w:bookmarkStart w:id="72" w:name="non_deposit_assets"/>
            <w:r w:rsidRPr="00EC0B05">
              <w:rPr>
                <w:b/>
                <w:sz w:val="21"/>
                <w:szCs w:val="21"/>
              </w:rPr>
              <w:t>Non-Depository Assets</w:t>
            </w:r>
            <w:bookmarkEnd w:id="72"/>
          </w:p>
        </w:tc>
        <w:tc>
          <w:tcPr>
            <w:tcW w:w="3664" w:type="pct"/>
          </w:tcPr>
          <w:p w14:paraId="77AD98B4" w14:textId="77777777" w:rsidR="000016AE" w:rsidRPr="00EC0B05" w:rsidRDefault="000016AE" w:rsidP="00DF4668">
            <w:pPr>
              <w:pStyle w:val="BodyText"/>
              <w:tabs>
                <w:tab w:val="left" w:pos="3010"/>
              </w:tabs>
              <w:kinsoku w:val="0"/>
              <w:overflowPunct w:val="0"/>
              <w:rPr>
                <w:rFonts w:asciiTheme="minorHAnsi" w:eastAsiaTheme="minorHAnsi" w:hAnsiTheme="minorHAnsi" w:cstheme="minorBidi"/>
                <w:w w:val="105"/>
              </w:rPr>
            </w:pPr>
            <w:r w:rsidRPr="00EC0B05">
              <w:rPr>
                <w:rFonts w:asciiTheme="minorHAnsi" w:eastAsiaTheme="minorHAnsi" w:hAnsiTheme="minorHAnsi" w:cstheme="minorBidi"/>
                <w:w w:val="105"/>
              </w:rPr>
              <w:t>Stocks, government bonds, and mutual funds are acceptable sources of funds for the down payment, closing costs, and reserves.  Stock options may also be an acceptable source of funds, but only for down payments and closing costs.</w:t>
            </w:r>
          </w:p>
          <w:p w14:paraId="59C83470" w14:textId="77777777" w:rsidR="000016AE" w:rsidRPr="00EC0B05" w:rsidRDefault="000016AE" w:rsidP="00DF4668">
            <w:pPr>
              <w:pStyle w:val="BodyText"/>
              <w:numPr>
                <w:ilvl w:val="0"/>
                <w:numId w:val="6"/>
              </w:numPr>
              <w:kinsoku w:val="0"/>
              <w:overflowPunct w:val="0"/>
              <w:ind w:right="507"/>
              <w:rPr>
                <w:rFonts w:asciiTheme="minorHAnsi" w:eastAsiaTheme="minorHAnsi" w:hAnsiTheme="minorHAnsi" w:cstheme="minorBidi"/>
                <w:w w:val="105"/>
              </w:rPr>
            </w:pPr>
            <w:r w:rsidRPr="00EC0B05">
              <w:rPr>
                <w:rFonts w:asciiTheme="minorHAnsi" w:eastAsiaTheme="minorHAnsi" w:hAnsiTheme="minorHAnsi" w:cstheme="minorBidi"/>
                <w:w w:val="105"/>
              </w:rPr>
              <w:t>70% of verified funds are utilized as reserves to account for market volatility.</w:t>
            </w:r>
          </w:p>
          <w:p w14:paraId="7090A10C" w14:textId="7BA1FA04" w:rsidR="000016AE" w:rsidRPr="00EC0B05" w:rsidRDefault="000016AE" w:rsidP="00471F7C">
            <w:pPr>
              <w:pStyle w:val="ListParagraph"/>
              <w:widowControl w:val="0"/>
              <w:numPr>
                <w:ilvl w:val="0"/>
                <w:numId w:val="6"/>
              </w:numPr>
              <w:tabs>
                <w:tab w:val="left" w:pos="3737"/>
              </w:tabs>
              <w:kinsoku w:val="0"/>
              <w:overflowPunct w:val="0"/>
              <w:autoSpaceDE w:val="0"/>
              <w:autoSpaceDN w:val="0"/>
              <w:adjustRightInd w:val="0"/>
              <w:rPr>
                <w:w w:val="105"/>
                <w:sz w:val="21"/>
                <w:szCs w:val="21"/>
              </w:rPr>
            </w:pPr>
            <w:r w:rsidRPr="00EC0B05">
              <w:rPr>
                <w:w w:val="105"/>
                <w:sz w:val="21"/>
                <w:szCs w:val="21"/>
              </w:rPr>
              <w:t>A statement verifying the borrower's ownership of the account or  asset is required;</w:t>
            </w:r>
          </w:p>
          <w:p w14:paraId="777F4CEE" w14:textId="77777777" w:rsidR="000016AE" w:rsidRPr="00EC0B05" w:rsidRDefault="000016AE" w:rsidP="00DF4668">
            <w:pPr>
              <w:pStyle w:val="ListParagraph"/>
              <w:widowControl w:val="0"/>
              <w:numPr>
                <w:ilvl w:val="0"/>
                <w:numId w:val="6"/>
              </w:numPr>
              <w:tabs>
                <w:tab w:val="left" w:pos="3737"/>
              </w:tabs>
              <w:kinsoku w:val="0"/>
              <w:overflowPunct w:val="0"/>
              <w:autoSpaceDE w:val="0"/>
              <w:autoSpaceDN w:val="0"/>
              <w:adjustRightInd w:val="0"/>
              <w:spacing w:before="46"/>
              <w:ind w:right="290"/>
              <w:rPr>
                <w:w w:val="105"/>
                <w:sz w:val="21"/>
                <w:szCs w:val="21"/>
              </w:rPr>
            </w:pPr>
            <w:r w:rsidRPr="00EC0B05">
              <w:rPr>
                <w:w w:val="105"/>
                <w:sz w:val="21"/>
                <w:szCs w:val="21"/>
              </w:rPr>
              <w:t>The value of the asset at the time of sale or liquidation is used for qualifying assets; and</w:t>
            </w:r>
          </w:p>
          <w:p w14:paraId="69B7452A" w14:textId="77777777" w:rsidR="000016AE" w:rsidRPr="00EC0B05" w:rsidRDefault="000016AE" w:rsidP="00DF4668">
            <w:pPr>
              <w:pStyle w:val="ListParagraph"/>
              <w:widowControl w:val="0"/>
              <w:numPr>
                <w:ilvl w:val="0"/>
                <w:numId w:val="6"/>
              </w:numPr>
              <w:tabs>
                <w:tab w:val="left" w:pos="3737"/>
              </w:tabs>
              <w:kinsoku w:val="0"/>
              <w:overflowPunct w:val="0"/>
              <w:autoSpaceDE w:val="0"/>
              <w:autoSpaceDN w:val="0"/>
              <w:adjustRightInd w:val="0"/>
              <w:spacing w:before="2"/>
              <w:ind w:right="146"/>
              <w:rPr>
                <w:w w:val="105"/>
                <w:sz w:val="21"/>
                <w:szCs w:val="21"/>
              </w:rPr>
            </w:pPr>
            <w:r w:rsidRPr="00EC0B05">
              <w:rPr>
                <w:w w:val="105"/>
                <w:sz w:val="21"/>
                <w:szCs w:val="21"/>
              </w:rPr>
              <w:t>The borrower's actual receipt of funds realized from the sale or liquidation of the assets, if the funds will be used for the down payment or closing costs should be verified.</w:t>
            </w:r>
          </w:p>
          <w:p w14:paraId="36E53C18" w14:textId="77777777" w:rsidR="000016AE" w:rsidRPr="00EC0B05" w:rsidRDefault="000016AE" w:rsidP="00DF4668">
            <w:pPr>
              <w:pStyle w:val="ListParagraph"/>
              <w:widowControl w:val="0"/>
              <w:numPr>
                <w:ilvl w:val="0"/>
                <w:numId w:val="6"/>
              </w:numPr>
              <w:tabs>
                <w:tab w:val="left" w:pos="3737"/>
              </w:tabs>
              <w:kinsoku w:val="0"/>
              <w:overflowPunct w:val="0"/>
              <w:autoSpaceDE w:val="0"/>
              <w:autoSpaceDN w:val="0"/>
              <w:adjustRightInd w:val="0"/>
              <w:spacing w:before="46"/>
              <w:ind w:right="193"/>
              <w:rPr>
                <w:w w:val="110"/>
                <w:sz w:val="21"/>
                <w:szCs w:val="21"/>
              </w:rPr>
            </w:pPr>
            <w:r w:rsidRPr="00EC0B05">
              <w:rPr>
                <w:w w:val="105"/>
                <w:sz w:val="21"/>
                <w:szCs w:val="21"/>
              </w:rPr>
              <w:t>Deposits exceeding 50% of qualifying income must be explained</w:t>
            </w:r>
          </w:p>
        </w:tc>
      </w:tr>
      <w:tr w:rsidR="00EC0B05" w:rsidRPr="00EC0B05" w14:paraId="641CD5A0" w14:textId="77777777" w:rsidTr="0063752F">
        <w:tc>
          <w:tcPr>
            <w:tcW w:w="1336" w:type="pct"/>
          </w:tcPr>
          <w:p w14:paraId="786492C1" w14:textId="77777777" w:rsidR="000016AE" w:rsidRPr="00EC0B05" w:rsidRDefault="000016AE" w:rsidP="00471F7C">
            <w:pPr>
              <w:jc w:val="both"/>
              <w:rPr>
                <w:b/>
                <w:w w:val="110"/>
                <w:sz w:val="21"/>
                <w:szCs w:val="21"/>
              </w:rPr>
            </w:pPr>
            <w:bookmarkStart w:id="73" w:name="notes_rec"/>
            <w:r w:rsidRPr="00EC0B05">
              <w:rPr>
                <w:b/>
                <w:w w:val="110"/>
                <w:sz w:val="21"/>
                <w:szCs w:val="21"/>
              </w:rPr>
              <w:t>Notes Receivable</w:t>
            </w:r>
            <w:bookmarkEnd w:id="73"/>
          </w:p>
        </w:tc>
        <w:tc>
          <w:tcPr>
            <w:tcW w:w="3664" w:type="pct"/>
          </w:tcPr>
          <w:p w14:paraId="4FA36F07" w14:textId="68E9F715" w:rsidR="00727968" w:rsidRDefault="000016AE" w:rsidP="001B307F">
            <w:pPr>
              <w:autoSpaceDE w:val="0"/>
              <w:autoSpaceDN w:val="0"/>
              <w:adjustRightInd w:val="0"/>
              <w:contextualSpacing/>
              <w:rPr>
                <w:w w:val="110"/>
                <w:sz w:val="21"/>
                <w:szCs w:val="21"/>
              </w:rPr>
            </w:pPr>
            <w:r w:rsidRPr="00EC0B05">
              <w:rPr>
                <w:w w:val="110"/>
                <w:sz w:val="21"/>
                <w:szCs w:val="21"/>
              </w:rPr>
              <w:t xml:space="preserve">Note income is eligible for qualifying, if </w:t>
            </w:r>
            <w:r w:rsidR="001B307F">
              <w:rPr>
                <w:w w:val="110"/>
                <w:sz w:val="21"/>
                <w:szCs w:val="21"/>
              </w:rPr>
              <w:t xml:space="preserve">the borrower has a history of receipt of this kind of income documented on their tax returns. </w:t>
            </w:r>
            <w:r w:rsidR="00727968">
              <w:rPr>
                <w:w w:val="110"/>
                <w:sz w:val="21"/>
                <w:szCs w:val="21"/>
              </w:rPr>
              <w:t xml:space="preserve">Copies of the notes will be required. </w:t>
            </w:r>
          </w:p>
          <w:p w14:paraId="020CA535" w14:textId="77777777" w:rsidR="00727968" w:rsidRDefault="00727968" w:rsidP="001B307F">
            <w:pPr>
              <w:autoSpaceDE w:val="0"/>
              <w:autoSpaceDN w:val="0"/>
              <w:adjustRightInd w:val="0"/>
              <w:contextualSpacing/>
              <w:rPr>
                <w:w w:val="110"/>
                <w:sz w:val="21"/>
                <w:szCs w:val="21"/>
              </w:rPr>
            </w:pPr>
          </w:p>
          <w:p w14:paraId="455EE24F" w14:textId="08712977" w:rsidR="000016AE" w:rsidRPr="00EC0B05" w:rsidRDefault="00727968" w:rsidP="00727968">
            <w:pPr>
              <w:autoSpaceDE w:val="0"/>
              <w:autoSpaceDN w:val="0"/>
              <w:adjustRightInd w:val="0"/>
              <w:contextualSpacing/>
              <w:rPr>
                <w:w w:val="110"/>
                <w:sz w:val="21"/>
                <w:szCs w:val="21"/>
              </w:rPr>
            </w:pPr>
            <w:r>
              <w:rPr>
                <w:w w:val="110"/>
                <w:sz w:val="21"/>
                <w:szCs w:val="21"/>
              </w:rPr>
              <w:lastRenderedPageBreak/>
              <w:t>In cases where a borrower with an established history of note income has signed a NEW note, a</w:t>
            </w:r>
            <w:r w:rsidR="000016AE" w:rsidRPr="00EC0B05">
              <w:rPr>
                <w:w w:val="110"/>
                <w:sz w:val="21"/>
                <w:szCs w:val="21"/>
              </w:rPr>
              <w:t xml:space="preserve"> copy of the note with documented receip</w:t>
            </w:r>
            <w:r>
              <w:rPr>
                <w:w w:val="110"/>
                <w:sz w:val="21"/>
                <w:szCs w:val="21"/>
              </w:rPr>
              <w:t xml:space="preserve">t of the income is obtained. </w:t>
            </w:r>
            <w:r w:rsidR="000016AE" w:rsidRPr="00EC0B05">
              <w:rPr>
                <w:w w:val="110"/>
                <w:sz w:val="21"/>
                <w:szCs w:val="21"/>
              </w:rPr>
              <w:t>At a minimum, the remaining term should be three years of continuance.  Secured notes are generally lower risk than unsecured notes</w:t>
            </w:r>
          </w:p>
        </w:tc>
      </w:tr>
      <w:tr w:rsidR="00EC0B05" w:rsidRPr="00EC0B05" w14:paraId="71026CDA" w14:textId="77777777" w:rsidTr="0063752F">
        <w:tc>
          <w:tcPr>
            <w:tcW w:w="1336" w:type="pct"/>
          </w:tcPr>
          <w:p w14:paraId="413C4EAA" w14:textId="4BE74346" w:rsidR="000016AE" w:rsidRPr="00EC0B05" w:rsidRDefault="000016AE" w:rsidP="00471F7C">
            <w:pPr>
              <w:rPr>
                <w:b/>
                <w:w w:val="110"/>
                <w:sz w:val="21"/>
                <w:szCs w:val="21"/>
              </w:rPr>
            </w:pPr>
            <w:bookmarkStart w:id="74" w:name="NRA_borrowers"/>
            <w:r w:rsidRPr="00EC0B05">
              <w:rPr>
                <w:b/>
                <w:w w:val="110"/>
                <w:sz w:val="21"/>
                <w:szCs w:val="21"/>
              </w:rPr>
              <w:lastRenderedPageBreak/>
              <w:t>NRA Borrowers</w:t>
            </w:r>
            <w:bookmarkEnd w:id="74"/>
          </w:p>
        </w:tc>
        <w:tc>
          <w:tcPr>
            <w:tcW w:w="3664" w:type="pct"/>
          </w:tcPr>
          <w:p w14:paraId="41A2AD0B" w14:textId="77777777" w:rsidR="000016AE" w:rsidRPr="00EC0B05" w:rsidRDefault="000016AE" w:rsidP="00DF4668">
            <w:pPr>
              <w:contextualSpacing/>
              <w:rPr>
                <w:sz w:val="21"/>
                <w:szCs w:val="21"/>
              </w:rPr>
            </w:pPr>
            <w:r w:rsidRPr="00EC0B05">
              <w:rPr>
                <w:sz w:val="21"/>
                <w:szCs w:val="21"/>
              </w:rPr>
              <w:t>A non-resident alien is defined as a borrower that does not live and work in the U.S.  This does not include permanent resident aliens or non-permanent resident aliens.  If borrowers do not have a valid work VISA, or work authorization card, and live and work outside the U.S., they are considered non-resident aliens.  In addition, non-resident aliens are limited to loans on 2</w:t>
            </w:r>
            <w:r w:rsidRPr="00EC0B05">
              <w:rPr>
                <w:sz w:val="21"/>
                <w:szCs w:val="21"/>
                <w:vertAlign w:val="superscript"/>
              </w:rPr>
              <w:t>nd</w:t>
            </w:r>
            <w:r w:rsidRPr="00EC0B05">
              <w:rPr>
                <w:sz w:val="21"/>
                <w:szCs w:val="21"/>
              </w:rPr>
              <w:t xml:space="preserve"> homes. </w:t>
            </w:r>
          </w:p>
          <w:p w14:paraId="18D55E4F" w14:textId="77777777" w:rsidR="00026A1B" w:rsidRDefault="00026A1B" w:rsidP="00DF4668">
            <w:pPr>
              <w:contextualSpacing/>
              <w:rPr>
                <w:sz w:val="21"/>
                <w:szCs w:val="21"/>
              </w:rPr>
            </w:pPr>
          </w:p>
          <w:p w14:paraId="4C8FB1F9" w14:textId="77777777" w:rsidR="00026A1B" w:rsidRDefault="00026A1B" w:rsidP="00DF4668">
            <w:pPr>
              <w:rPr>
                <w:rFonts w:ascii="Calibri" w:hAnsi="Calibri"/>
                <w:sz w:val="21"/>
                <w:szCs w:val="21"/>
              </w:rPr>
            </w:pPr>
            <w:r>
              <w:rPr>
                <w:rFonts w:ascii="Calibri" w:hAnsi="Calibri"/>
                <w:sz w:val="21"/>
                <w:szCs w:val="21"/>
              </w:rPr>
              <w:t xml:space="preserve">The following list contains the most common work visas that indicate a Due Diligence review is required (note, this list is not exhaustive): </w:t>
            </w:r>
          </w:p>
          <w:p w14:paraId="3FAB7CEB" w14:textId="77777777" w:rsidR="00026A1B" w:rsidRDefault="00026A1B" w:rsidP="00A8756A">
            <w:pPr>
              <w:pStyle w:val="ListParagraph"/>
              <w:numPr>
                <w:ilvl w:val="0"/>
                <w:numId w:val="59"/>
              </w:numPr>
              <w:ind w:hanging="287"/>
              <w:rPr>
                <w:rFonts w:ascii="Calibri" w:hAnsi="Calibri"/>
                <w:sz w:val="21"/>
                <w:szCs w:val="21"/>
              </w:rPr>
            </w:pPr>
            <w:r>
              <w:rPr>
                <w:rFonts w:ascii="Calibri" w:hAnsi="Calibri"/>
                <w:sz w:val="21"/>
                <w:szCs w:val="21"/>
              </w:rPr>
              <w:t>B-1, B-2</w:t>
            </w:r>
          </w:p>
          <w:p w14:paraId="30E40695" w14:textId="77777777" w:rsidR="00026A1B" w:rsidRDefault="00026A1B" w:rsidP="00A8756A">
            <w:pPr>
              <w:pStyle w:val="ListParagraph"/>
              <w:numPr>
                <w:ilvl w:val="0"/>
                <w:numId w:val="59"/>
              </w:numPr>
              <w:ind w:hanging="287"/>
              <w:rPr>
                <w:rFonts w:ascii="Calibri" w:hAnsi="Calibri"/>
                <w:sz w:val="21"/>
                <w:szCs w:val="21"/>
              </w:rPr>
            </w:pPr>
            <w:r>
              <w:rPr>
                <w:rFonts w:ascii="Calibri" w:hAnsi="Calibri"/>
                <w:sz w:val="21"/>
                <w:szCs w:val="21"/>
              </w:rPr>
              <w:t>BBBCV, C1</w:t>
            </w:r>
          </w:p>
          <w:p w14:paraId="36DD5959" w14:textId="77777777" w:rsidR="00026A1B" w:rsidRDefault="00026A1B" w:rsidP="00A8756A">
            <w:pPr>
              <w:pStyle w:val="ListParagraph"/>
              <w:numPr>
                <w:ilvl w:val="0"/>
                <w:numId w:val="59"/>
              </w:numPr>
              <w:ind w:hanging="287"/>
              <w:rPr>
                <w:rFonts w:ascii="Calibri" w:hAnsi="Calibri"/>
                <w:sz w:val="21"/>
                <w:szCs w:val="21"/>
              </w:rPr>
            </w:pPr>
            <w:r>
              <w:rPr>
                <w:rFonts w:ascii="Calibri" w:hAnsi="Calibri"/>
                <w:sz w:val="21"/>
                <w:szCs w:val="21"/>
              </w:rPr>
              <w:t>E-1, E-2, EB</w:t>
            </w:r>
          </w:p>
          <w:p w14:paraId="64B96F4A" w14:textId="77777777" w:rsidR="00026A1B" w:rsidRDefault="00026A1B" w:rsidP="00A8756A">
            <w:pPr>
              <w:pStyle w:val="ListParagraph"/>
              <w:numPr>
                <w:ilvl w:val="0"/>
                <w:numId w:val="59"/>
              </w:numPr>
              <w:ind w:hanging="287"/>
              <w:rPr>
                <w:rFonts w:ascii="Calibri" w:hAnsi="Calibri"/>
                <w:sz w:val="21"/>
                <w:szCs w:val="21"/>
              </w:rPr>
            </w:pPr>
            <w:r>
              <w:rPr>
                <w:rFonts w:ascii="Calibri" w:hAnsi="Calibri"/>
                <w:sz w:val="21"/>
                <w:szCs w:val="21"/>
              </w:rPr>
              <w:t>F-1, M-1, J, TN</w:t>
            </w:r>
          </w:p>
          <w:p w14:paraId="38EF606C" w14:textId="77777777" w:rsidR="00026A1B" w:rsidRDefault="00026A1B" w:rsidP="00DF4668">
            <w:pPr>
              <w:rPr>
                <w:rFonts w:ascii="Calibri" w:hAnsi="Calibri"/>
                <w:sz w:val="21"/>
                <w:szCs w:val="21"/>
              </w:rPr>
            </w:pPr>
          </w:p>
          <w:p w14:paraId="5252D059" w14:textId="77777777" w:rsidR="00026A1B" w:rsidRDefault="00026A1B" w:rsidP="00DF4668">
            <w:pPr>
              <w:contextualSpacing/>
              <w:rPr>
                <w:sz w:val="21"/>
                <w:szCs w:val="21"/>
              </w:rPr>
            </w:pPr>
            <w:r>
              <w:rPr>
                <w:rFonts w:ascii="Calibri" w:hAnsi="Calibri"/>
                <w:sz w:val="21"/>
                <w:szCs w:val="21"/>
              </w:rPr>
              <w:t>NOTE: additional documents may be requested as part of the Due Diligence review when there are NRA loans with gift funds (either from U.S. citizens or NRAs), and/or when there are NRA Title Holders or NRA Beneficial Owners.</w:t>
            </w:r>
          </w:p>
          <w:p w14:paraId="4E0FBA40" w14:textId="77777777" w:rsidR="00026A1B" w:rsidRDefault="00026A1B" w:rsidP="00DF4668">
            <w:pPr>
              <w:contextualSpacing/>
              <w:rPr>
                <w:sz w:val="21"/>
                <w:szCs w:val="21"/>
              </w:rPr>
            </w:pPr>
          </w:p>
          <w:p w14:paraId="4C6913DF" w14:textId="77777777" w:rsidR="00F21FC5" w:rsidRPr="00EC0B05" w:rsidRDefault="00F21FC5" w:rsidP="00DF4668">
            <w:pPr>
              <w:contextualSpacing/>
              <w:rPr>
                <w:sz w:val="21"/>
                <w:szCs w:val="21"/>
              </w:rPr>
            </w:pPr>
            <w:r w:rsidRPr="00EC0B05">
              <w:rPr>
                <w:sz w:val="21"/>
                <w:szCs w:val="21"/>
              </w:rPr>
              <w:t xml:space="preserve">All NRA loans </w:t>
            </w:r>
            <w:r w:rsidR="00D7187C" w:rsidRPr="00EC0B05">
              <w:rPr>
                <w:sz w:val="21"/>
                <w:szCs w:val="21"/>
              </w:rPr>
              <w:t>are submitt</w:t>
            </w:r>
            <w:r w:rsidR="00AB4409" w:rsidRPr="00EC0B05">
              <w:rPr>
                <w:sz w:val="21"/>
                <w:szCs w:val="21"/>
              </w:rPr>
              <w:t>ed for NRA Due diligence review and this is required prior to submission to underwriting.</w:t>
            </w:r>
            <w:r w:rsidR="00D7187C" w:rsidRPr="00EC0B05">
              <w:rPr>
                <w:sz w:val="21"/>
                <w:szCs w:val="21"/>
              </w:rPr>
              <w:t xml:space="preserve"> </w:t>
            </w:r>
            <w:r w:rsidR="00F11DB9" w:rsidRPr="00EC0B05">
              <w:rPr>
                <w:sz w:val="21"/>
                <w:szCs w:val="21"/>
              </w:rPr>
              <w:t>This may take a few days and require additional information. If approved</w:t>
            </w:r>
            <w:r w:rsidR="005A0D31" w:rsidRPr="00EC0B05">
              <w:rPr>
                <w:sz w:val="21"/>
                <w:szCs w:val="21"/>
              </w:rPr>
              <w:t xml:space="preserve"> the</w:t>
            </w:r>
            <w:r w:rsidR="00F11DB9" w:rsidRPr="00EC0B05">
              <w:rPr>
                <w:sz w:val="21"/>
                <w:szCs w:val="21"/>
              </w:rPr>
              <w:t xml:space="preserve"> file will be submitted to Credit for an initial underwriting decision. </w:t>
            </w:r>
            <w:r w:rsidR="00D7187C" w:rsidRPr="00EC0B05">
              <w:rPr>
                <w:sz w:val="21"/>
                <w:szCs w:val="21"/>
              </w:rPr>
              <w:t>T</w:t>
            </w:r>
            <w:r w:rsidRPr="00EC0B05">
              <w:rPr>
                <w:sz w:val="21"/>
                <w:szCs w:val="21"/>
              </w:rPr>
              <w:t>h</w:t>
            </w:r>
            <w:r w:rsidR="00012DA1" w:rsidRPr="00EC0B05">
              <w:rPr>
                <w:sz w:val="21"/>
                <w:szCs w:val="21"/>
              </w:rPr>
              <w:t>e</w:t>
            </w:r>
            <w:r w:rsidRPr="00EC0B05">
              <w:rPr>
                <w:sz w:val="21"/>
                <w:szCs w:val="21"/>
              </w:rPr>
              <w:t xml:space="preserve"> review </w:t>
            </w:r>
            <w:r w:rsidR="00F11DB9" w:rsidRPr="00EC0B05">
              <w:rPr>
                <w:sz w:val="21"/>
                <w:szCs w:val="21"/>
              </w:rPr>
              <w:t xml:space="preserve">fee </w:t>
            </w:r>
            <w:r w:rsidRPr="00EC0B05">
              <w:rPr>
                <w:sz w:val="21"/>
                <w:szCs w:val="21"/>
              </w:rPr>
              <w:t>is $250.</w:t>
            </w:r>
          </w:p>
          <w:p w14:paraId="762C3E0E" w14:textId="77777777" w:rsidR="000016AE" w:rsidRPr="00EC0B05" w:rsidRDefault="000016AE" w:rsidP="00A8756A">
            <w:pPr>
              <w:pStyle w:val="ListParagraph"/>
              <w:numPr>
                <w:ilvl w:val="0"/>
                <w:numId w:val="40"/>
              </w:numPr>
              <w:ind w:left="792"/>
              <w:rPr>
                <w:sz w:val="21"/>
                <w:szCs w:val="21"/>
              </w:rPr>
            </w:pPr>
            <w:r w:rsidRPr="00EC0B05">
              <w:rPr>
                <w:sz w:val="21"/>
                <w:szCs w:val="21"/>
              </w:rPr>
              <w:t>Non-resident aliens must provide a valid passport;</w:t>
            </w:r>
          </w:p>
          <w:p w14:paraId="1A559C72" w14:textId="77777777" w:rsidR="00A32388" w:rsidRPr="00EC0B05" w:rsidRDefault="00A32388" w:rsidP="00A8756A">
            <w:pPr>
              <w:pStyle w:val="ListParagraph"/>
              <w:numPr>
                <w:ilvl w:val="0"/>
                <w:numId w:val="40"/>
              </w:numPr>
              <w:ind w:left="792"/>
              <w:rPr>
                <w:sz w:val="21"/>
                <w:szCs w:val="21"/>
              </w:rPr>
            </w:pPr>
            <w:r w:rsidRPr="00EC0B05">
              <w:rPr>
                <w:sz w:val="21"/>
                <w:szCs w:val="21"/>
              </w:rPr>
              <w:t>Minimum of 12 months PITIA is required in reserves;</w:t>
            </w:r>
          </w:p>
          <w:p w14:paraId="615F708B" w14:textId="77777777" w:rsidR="000016AE" w:rsidRPr="00EC0B05" w:rsidRDefault="000016AE" w:rsidP="00A8756A">
            <w:pPr>
              <w:pStyle w:val="ListParagraph"/>
              <w:numPr>
                <w:ilvl w:val="0"/>
                <w:numId w:val="40"/>
              </w:numPr>
              <w:ind w:left="792"/>
              <w:rPr>
                <w:sz w:val="21"/>
                <w:szCs w:val="21"/>
              </w:rPr>
            </w:pPr>
            <w:r w:rsidRPr="00EC0B05">
              <w:rPr>
                <w:sz w:val="21"/>
                <w:szCs w:val="21"/>
              </w:rPr>
              <w:t xml:space="preserve">Investment properties may be considered case-by-case; </w:t>
            </w:r>
          </w:p>
          <w:p w14:paraId="256D6801" w14:textId="77777777" w:rsidR="000016AE" w:rsidRPr="00EC0B05" w:rsidRDefault="000016AE" w:rsidP="00A8756A">
            <w:pPr>
              <w:pStyle w:val="ListParagraph"/>
              <w:numPr>
                <w:ilvl w:val="0"/>
                <w:numId w:val="25"/>
              </w:numPr>
              <w:tabs>
                <w:tab w:val="clear" w:pos="3240"/>
              </w:tabs>
              <w:ind w:left="792"/>
              <w:rPr>
                <w:rFonts w:cs="Times New Roman"/>
                <w:sz w:val="21"/>
                <w:szCs w:val="21"/>
              </w:rPr>
            </w:pPr>
            <w:r w:rsidRPr="00EC0B05">
              <w:rPr>
                <w:rFonts w:cs="Times New Roman"/>
                <w:sz w:val="21"/>
                <w:szCs w:val="21"/>
              </w:rPr>
              <w:t>Thorough online research of borrower name and business is required;</w:t>
            </w:r>
          </w:p>
          <w:p w14:paraId="713BAA3A" w14:textId="77777777" w:rsidR="000016AE" w:rsidRPr="00EC0B05" w:rsidRDefault="004050FF" w:rsidP="00A8756A">
            <w:pPr>
              <w:pStyle w:val="ListParagraph"/>
              <w:numPr>
                <w:ilvl w:val="0"/>
                <w:numId w:val="25"/>
              </w:numPr>
              <w:tabs>
                <w:tab w:val="clear" w:pos="3240"/>
              </w:tabs>
              <w:ind w:left="792"/>
              <w:rPr>
                <w:rFonts w:cs="Times New Roman"/>
                <w:sz w:val="21"/>
                <w:szCs w:val="21"/>
              </w:rPr>
            </w:pPr>
            <w:r w:rsidRPr="00EC0B05">
              <w:rPr>
                <w:rFonts w:cs="Times New Roman"/>
                <w:sz w:val="21"/>
                <w:szCs w:val="21"/>
              </w:rPr>
              <w:t>P</w:t>
            </w:r>
            <w:r w:rsidR="000016AE" w:rsidRPr="00EC0B05">
              <w:rPr>
                <w:rFonts w:cs="Times New Roman"/>
                <w:sz w:val="21"/>
                <w:szCs w:val="21"/>
              </w:rPr>
              <w:t>rofessional translation of all income/identity/asset documentation if not in English</w:t>
            </w:r>
            <w:r w:rsidRPr="00EC0B05">
              <w:rPr>
                <w:rFonts w:cs="Times New Roman"/>
                <w:sz w:val="21"/>
                <w:szCs w:val="21"/>
              </w:rPr>
              <w:t xml:space="preserve"> is required</w:t>
            </w:r>
            <w:r w:rsidR="000016AE" w:rsidRPr="00EC0B05">
              <w:rPr>
                <w:rFonts w:cs="Times New Roman"/>
                <w:sz w:val="21"/>
                <w:szCs w:val="21"/>
              </w:rPr>
              <w:t>;</w:t>
            </w:r>
          </w:p>
          <w:p w14:paraId="18FE784C" w14:textId="77777777" w:rsidR="000016AE" w:rsidRPr="00EC0B05" w:rsidRDefault="000016AE" w:rsidP="00A8756A">
            <w:pPr>
              <w:pStyle w:val="ListParagraph"/>
              <w:numPr>
                <w:ilvl w:val="0"/>
                <w:numId w:val="25"/>
              </w:numPr>
              <w:tabs>
                <w:tab w:val="clear" w:pos="3240"/>
              </w:tabs>
              <w:ind w:left="792"/>
              <w:rPr>
                <w:rFonts w:cs="Times New Roman"/>
                <w:sz w:val="21"/>
                <w:szCs w:val="21"/>
              </w:rPr>
            </w:pPr>
            <w:r w:rsidRPr="00EC0B05">
              <w:rPr>
                <w:rFonts w:cs="Times New Roman"/>
                <w:sz w:val="21"/>
                <w:szCs w:val="21"/>
              </w:rPr>
              <w:t xml:space="preserve">Research country of origin; </w:t>
            </w:r>
          </w:p>
          <w:p w14:paraId="5C9B5A65" w14:textId="24C6EF52" w:rsidR="00116036" w:rsidRDefault="00116036" w:rsidP="00A8756A">
            <w:pPr>
              <w:pStyle w:val="ListParagraph"/>
              <w:numPr>
                <w:ilvl w:val="0"/>
                <w:numId w:val="63"/>
              </w:numPr>
              <w:ind w:left="792"/>
              <w:rPr>
                <w:rFonts w:cs="Times New Roman"/>
                <w:sz w:val="21"/>
                <w:szCs w:val="21"/>
              </w:rPr>
            </w:pPr>
            <w:r>
              <w:rPr>
                <w:rFonts w:cs="Times New Roman"/>
                <w:b/>
                <w:sz w:val="21"/>
                <w:szCs w:val="21"/>
              </w:rPr>
              <w:t>W8:</w:t>
            </w:r>
            <w:r>
              <w:rPr>
                <w:rFonts w:cs="Times New Roman"/>
                <w:sz w:val="21"/>
                <w:szCs w:val="21"/>
              </w:rPr>
              <w:t xml:space="preserve"> is required at closing if borrower opens a </w:t>
            </w:r>
            <w:r w:rsidR="002D1DA1">
              <w:rPr>
                <w:rFonts w:cs="Times New Roman"/>
                <w:sz w:val="21"/>
                <w:szCs w:val="21"/>
              </w:rPr>
              <w:t>Axos Bank</w:t>
            </w:r>
            <w:r>
              <w:rPr>
                <w:rFonts w:cs="Times New Roman"/>
                <w:sz w:val="21"/>
                <w:szCs w:val="21"/>
              </w:rPr>
              <w:t xml:space="preserve"> Deposit account. </w:t>
            </w:r>
          </w:p>
          <w:p w14:paraId="4EE7AF21" w14:textId="77777777" w:rsidR="00116036" w:rsidRPr="00352C1C" w:rsidRDefault="00116036" w:rsidP="00A8756A">
            <w:pPr>
              <w:pStyle w:val="ListParagraph"/>
              <w:numPr>
                <w:ilvl w:val="0"/>
                <w:numId w:val="65"/>
              </w:numPr>
              <w:rPr>
                <w:rFonts w:cs="Times New Roman"/>
                <w:sz w:val="21"/>
                <w:szCs w:val="21"/>
              </w:rPr>
            </w:pPr>
            <w:r>
              <w:rPr>
                <w:rFonts w:cs="Times New Roman"/>
                <w:sz w:val="21"/>
                <w:szCs w:val="21"/>
              </w:rPr>
              <w:t xml:space="preserve">Borrower is required to provide their </w:t>
            </w:r>
            <w:r w:rsidRPr="00352C1C">
              <w:rPr>
                <w:rFonts w:cs="Times New Roman"/>
                <w:b/>
                <w:sz w:val="21"/>
                <w:szCs w:val="21"/>
              </w:rPr>
              <w:t>Foreign ITIN</w:t>
            </w:r>
            <w:r>
              <w:rPr>
                <w:rFonts w:cs="Times New Roman"/>
                <w:b/>
                <w:sz w:val="21"/>
                <w:szCs w:val="21"/>
              </w:rPr>
              <w:t xml:space="preserve"> on the W8 form</w:t>
            </w:r>
          </w:p>
          <w:p w14:paraId="2936680C" w14:textId="77777777" w:rsidR="00116036" w:rsidRDefault="00116036" w:rsidP="00A8756A">
            <w:pPr>
              <w:pStyle w:val="ListParagraph"/>
              <w:numPr>
                <w:ilvl w:val="0"/>
                <w:numId w:val="65"/>
              </w:numPr>
              <w:rPr>
                <w:rFonts w:cs="Times New Roman"/>
                <w:sz w:val="21"/>
                <w:szCs w:val="21"/>
              </w:rPr>
            </w:pPr>
            <w:r>
              <w:rPr>
                <w:rFonts w:cs="Times New Roman"/>
                <w:sz w:val="21"/>
                <w:szCs w:val="21"/>
              </w:rPr>
              <w:t xml:space="preserve">Borrower is also required to provide their </w:t>
            </w:r>
            <w:r w:rsidRPr="00352C1C">
              <w:rPr>
                <w:rFonts w:cs="Times New Roman"/>
                <w:b/>
                <w:sz w:val="21"/>
                <w:szCs w:val="21"/>
              </w:rPr>
              <w:t>US ITIN</w:t>
            </w:r>
            <w:r>
              <w:rPr>
                <w:rFonts w:cs="Times New Roman"/>
                <w:sz w:val="21"/>
                <w:szCs w:val="21"/>
              </w:rPr>
              <w:t xml:space="preserve"> </w:t>
            </w:r>
            <w:r>
              <w:rPr>
                <w:rFonts w:cs="Times New Roman"/>
                <w:b/>
                <w:sz w:val="21"/>
                <w:szCs w:val="21"/>
              </w:rPr>
              <w:t>on the W8 form</w:t>
            </w:r>
            <w:r>
              <w:rPr>
                <w:rFonts w:cs="Times New Roman"/>
                <w:sz w:val="21"/>
                <w:szCs w:val="21"/>
              </w:rPr>
              <w:t xml:space="preserve"> (</w:t>
            </w:r>
            <w:r w:rsidRPr="00352C1C">
              <w:rPr>
                <w:rFonts w:cs="Times New Roman"/>
                <w:sz w:val="21"/>
                <w:szCs w:val="21"/>
              </w:rPr>
              <w:t xml:space="preserve">if they </w:t>
            </w:r>
            <w:r>
              <w:rPr>
                <w:rFonts w:cs="Times New Roman"/>
                <w:sz w:val="21"/>
                <w:szCs w:val="21"/>
              </w:rPr>
              <w:t>have a US ITIN)</w:t>
            </w:r>
          </w:p>
          <w:p w14:paraId="27424CC8" w14:textId="77777777" w:rsidR="00116036" w:rsidRDefault="00116036" w:rsidP="00DF4668">
            <w:pPr>
              <w:pStyle w:val="ListParagraph"/>
              <w:ind w:left="1512"/>
              <w:rPr>
                <w:rFonts w:cs="Times New Roman"/>
                <w:sz w:val="21"/>
                <w:szCs w:val="21"/>
              </w:rPr>
            </w:pPr>
          </w:p>
          <w:p w14:paraId="358865E1" w14:textId="69D99161" w:rsidR="00116036" w:rsidRPr="00352C1C" w:rsidRDefault="007F4B3F" w:rsidP="00A8756A">
            <w:pPr>
              <w:pStyle w:val="ListParagraph"/>
              <w:numPr>
                <w:ilvl w:val="0"/>
                <w:numId w:val="63"/>
              </w:numPr>
              <w:ind w:left="792"/>
              <w:rPr>
                <w:rFonts w:cs="Times New Roman"/>
                <w:sz w:val="21"/>
                <w:szCs w:val="21"/>
              </w:rPr>
            </w:pPr>
            <w:r>
              <w:rPr>
                <w:b/>
                <w:sz w:val="21"/>
                <w:szCs w:val="21"/>
              </w:rPr>
              <w:t>US ITIN/ W7</w:t>
            </w:r>
            <w:r w:rsidR="00116036">
              <w:rPr>
                <w:b/>
                <w:sz w:val="21"/>
                <w:szCs w:val="21"/>
              </w:rPr>
              <w:t xml:space="preserve">: </w:t>
            </w:r>
            <w:r w:rsidR="00116036" w:rsidRPr="00352C1C">
              <w:rPr>
                <w:sz w:val="21"/>
                <w:szCs w:val="21"/>
              </w:rPr>
              <w:t xml:space="preserve">Cash out and investment loans: </w:t>
            </w:r>
          </w:p>
          <w:p w14:paraId="4CB93EAE" w14:textId="3B03F3DB" w:rsidR="00116036" w:rsidRPr="00352C1C" w:rsidRDefault="00116036" w:rsidP="00A8756A">
            <w:pPr>
              <w:pStyle w:val="ListParagraph"/>
              <w:numPr>
                <w:ilvl w:val="0"/>
                <w:numId w:val="66"/>
              </w:numPr>
              <w:rPr>
                <w:rFonts w:cs="Times New Roman"/>
                <w:sz w:val="21"/>
                <w:szCs w:val="21"/>
              </w:rPr>
            </w:pPr>
            <w:r w:rsidRPr="00352C1C">
              <w:rPr>
                <w:sz w:val="21"/>
                <w:szCs w:val="21"/>
              </w:rPr>
              <w:t>If the</w:t>
            </w:r>
            <w:r>
              <w:rPr>
                <w:sz w:val="21"/>
                <w:szCs w:val="21"/>
              </w:rPr>
              <w:t xml:space="preserve"> borrower gets out more than </w:t>
            </w:r>
            <w:r>
              <w:rPr>
                <w:b/>
                <w:sz w:val="21"/>
                <w:szCs w:val="21"/>
              </w:rPr>
              <w:t xml:space="preserve">$100,000 cash out </w:t>
            </w:r>
            <w:r>
              <w:rPr>
                <w:sz w:val="21"/>
                <w:szCs w:val="21"/>
              </w:rPr>
              <w:t xml:space="preserve">on a refinance, </w:t>
            </w:r>
            <w:r w:rsidR="002D1DA1">
              <w:rPr>
                <w:sz w:val="21"/>
                <w:szCs w:val="21"/>
              </w:rPr>
              <w:t>Axos Bank</w:t>
            </w:r>
            <w:r>
              <w:rPr>
                <w:sz w:val="21"/>
                <w:szCs w:val="21"/>
              </w:rPr>
              <w:t xml:space="preserve"> will require a </w:t>
            </w:r>
            <w:r>
              <w:rPr>
                <w:b/>
                <w:sz w:val="21"/>
                <w:szCs w:val="21"/>
              </w:rPr>
              <w:t>US ITIN number</w:t>
            </w:r>
            <w:r>
              <w:rPr>
                <w:sz w:val="21"/>
                <w:szCs w:val="21"/>
              </w:rPr>
              <w:t xml:space="preserve"> (as the cash out is considered earnings)  </w:t>
            </w:r>
          </w:p>
          <w:p w14:paraId="79A68029" w14:textId="4D851C86" w:rsidR="00116036" w:rsidRPr="00352C1C" w:rsidRDefault="002D1DA1" w:rsidP="00A8756A">
            <w:pPr>
              <w:pStyle w:val="ListParagraph"/>
              <w:numPr>
                <w:ilvl w:val="0"/>
                <w:numId w:val="66"/>
              </w:numPr>
              <w:rPr>
                <w:rFonts w:cs="Times New Roman"/>
                <w:sz w:val="21"/>
                <w:szCs w:val="21"/>
              </w:rPr>
            </w:pPr>
            <w:r>
              <w:rPr>
                <w:sz w:val="21"/>
                <w:szCs w:val="21"/>
              </w:rPr>
              <w:t>Axos Bank</w:t>
            </w:r>
            <w:r w:rsidR="00116036">
              <w:rPr>
                <w:sz w:val="21"/>
                <w:szCs w:val="21"/>
              </w:rPr>
              <w:t xml:space="preserve"> will also require a </w:t>
            </w:r>
            <w:r w:rsidR="00116036">
              <w:rPr>
                <w:b/>
                <w:sz w:val="21"/>
                <w:szCs w:val="21"/>
              </w:rPr>
              <w:t>US ITIN number</w:t>
            </w:r>
            <w:r w:rsidR="00116036">
              <w:rPr>
                <w:sz w:val="21"/>
                <w:szCs w:val="21"/>
              </w:rPr>
              <w:t xml:space="preserve"> for all </w:t>
            </w:r>
            <w:r w:rsidR="00116036" w:rsidRPr="00352C1C">
              <w:rPr>
                <w:sz w:val="21"/>
                <w:szCs w:val="21"/>
              </w:rPr>
              <w:t xml:space="preserve">investment properties. </w:t>
            </w:r>
          </w:p>
          <w:p w14:paraId="038F94C4" w14:textId="77777777" w:rsidR="00116036" w:rsidRDefault="00116036" w:rsidP="00A8756A">
            <w:pPr>
              <w:pStyle w:val="ListParagraph"/>
              <w:numPr>
                <w:ilvl w:val="0"/>
                <w:numId w:val="64"/>
              </w:numPr>
              <w:rPr>
                <w:rFonts w:cs="Times New Roman"/>
                <w:sz w:val="21"/>
                <w:szCs w:val="21"/>
              </w:rPr>
            </w:pPr>
            <w:r>
              <w:rPr>
                <w:sz w:val="21"/>
                <w:szCs w:val="21"/>
              </w:rPr>
              <w:t xml:space="preserve">W7: If borrower does not have </w:t>
            </w:r>
            <w:r>
              <w:rPr>
                <w:b/>
                <w:sz w:val="21"/>
                <w:szCs w:val="21"/>
              </w:rPr>
              <w:t>US ITIN</w:t>
            </w:r>
            <w:r>
              <w:rPr>
                <w:sz w:val="21"/>
                <w:szCs w:val="21"/>
              </w:rPr>
              <w:t xml:space="preserve"> they must apply for one on the IRS W7 form. </w:t>
            </w:r>
          </w:p>
          <w:p w14:paraId="364ADE06" w14:textId="77777777" w:rsidR="00116036" w:rsidRDefault="00116036" w:rsidP="00A8756A">
            <w:pPr>
              <w:pStyle w:val="ListParagraph"/>
              <w:numPr>
                <w:ilvl w:val="0"/>
                <w:numId w:val="64"/>
              </w:numPr>
              <w:rPr>
                <w:rFonts w:cs="Times New Roman"/>
                <w:sz w:val="21"/>
                <w:szCs w:val="21"/>
              </w:rPr>
            </w:pPr>
            <w:r>
              <w:rPr>
                <w:sz w:val="21"/>
                <w:szCs w:val="21"/>
              </w:rPr>
              <w:t xml:space="preserve">Proof of receipt of </w:t>
            </w:r>
            <w:r>
              <w:rPr>
                <w:b/>
                <w:sz w:val="21"/>
                <w:szCs w:val="21"/>
              </w:rPr>
              <w:t>US ITIN</w:t>
            </w:r>
            <w:r>
              <w:rPr>
                <w:sz w:val="21"/>
                <w:szCs w:val="21"/>
              </w:rPr>
              <w:t xml:space="preserve"> will be a post funding condition. Correspondent is expected to follow up with borrower until </w:t>
            </w:r>
            <w:r w:rsidRPr="00352C1C">
              <w:rPr>
                <w:b/>
                <w:sz w:val="21"/>
                <w:szCs w:val="21"/>
              </w:rPr>
              <w:t>US ITIN</w:t>
            </w:r>
            <w:r>
              <w:rPr>
                <w:sz w:val="21"/>
                <w:szCs w:val="21"/>
              </w:rPr>
              <w:t xml:space="preserve"> is received</w:t>
            </w:r>
          </w:p>
          <w:p w14:paraId="10ADB359" w14:textId="77777777" w:rsidR="00116036" w:rsidRPr="00116036" w:rsidRDefault="00116036" w:rsidP="00DF4668">
            <w:pPr>
              <w:rPr>
                <w:rFonts w:cs="Times New Roman"/>
                <w:sz w:val="21"/>
                <w:szCs w:val="21"/>
              </w:rPr>
            </w:pPr>
          </w:p>
          <w:p w14:paraId="2371A0DD" w14:textId="10BDA3E5" w:rsidR="00727C08" w:rsidRPr="00EC0B05" w:rsidRDefault="00727C08" w:rsidP="00A8756A">
            <w:pPr>
              <w:pStyle w:val="ListParagraph"/>
              <w:numPr>
                <w:ilvl w:val="0"/>
                <w:numId w:val="25"/>
              </w:numPr>
              <w:tabs>
                <w:tab w:val="clear" w:pos="3240"/>
              </w:tabs>
              <w:ind w:left="792"/>
              <w:rPr>
                <w:rFonts w:cs="Times New Roman"/>
                <w:sz w:val="21"/>
                <w:szCs w:val="21"/>
              </w:rPr>
            </w:pPr>
            <w:r>
              <w:rPr>
                <w:rFonts w:cs="Times New Roman"/>
                <w:sz w:val="21"/>
                <w:szCs w:val="21"/>
              </w:rPr>
              <w:t>NRA Borrowers are not eligible for the Bridge</w:t>
            </w:r>
            <w:r w:rsidR="00DF202E">
              <w:rPr>
                <w:rFonts w:cs="Times New Roman"/>
                <w:sz w:val="21"/>
                <w:szCs w:val="21"/>
              </w:rPr>
              <w:t xml:space="preserve"> to Sale</w:t>
            </w:r>
            <w:r>
              <w:rPr>
                <w:rFonts w:cs="Times New Roman"/>
                <w:sz w:val="21"/>
                <w:szCs w:val="21"/>
              </w:rPr>
              <w:t xml:space="preserve"> Loan Program</w:t>
            </w:r>
          </w:p>
          <w:p w14:paraId="216BFD7C" w14:textId="77777777" w:rsidR="009C5F67" w:rsidRPr="00EC0B05" w:rsidRDefault="009C5F67" w:rsidP="00DF4668">
            <w:pPr>
              <w:pStyle w:val="ListParagraph"/>
              <w:ind w:left="2160"/>
              <w:rPr>
                <w:rFonts w:cs="Times New Roman"/>
                <w:sz w:val="21"/>
                <w:szCs w:val="21"/>
              </w:rPr>
            </w:pPr>
          </w:p>
          <w:p w14:paraId="46E852B7" w14:textId="77777777" w:rsidR="000016AE" w:rsidRPr="00EC0B05" w:rsidRDefault="000016AE" w:rsidP="00DF4668">
            <w:pPr>
              <w:pStyle w:val="Heading1"/>
              <w:spacing w:before="0"/>
              <w:contextualSpacing/>
              <w:rPr>
                <w:rFonts w:asciiTheme="minorHAnsi" w:hAnsiTheme="minorHAnsi"/>
                <w:b/>
                <w:color w:val="auto"/>
                <w:sz w:val="21"/>
                <w:szCs w:val="21"/>
              </w:rPr>
            </w:pPr>
            <w:r w:rsidRPr="00EC0B05">
              <w:rPr>
                <w:rFonts w:asciiTheme="minorHAnsi" w:hAnsiTheme="minorHAnsi"/>
                <w:b/>
                <w:color w:val="auto"/>
                <w:sz w:val="21"/>
                <w:szCs w:val="21"/>
              </w:rPr>
              <w:lastRenderedPageBreak/>
              <w:t>Program Exclusions</w:t>
            </w:r>
          </w:p>
          <w:p w14:paraId="59BA1A0F" w14:textId="77777777" w:rsidR="000016AE" w:rsidRPr="00EC0B05" w:rsidRDefault="000016AE" w:rsidP="00A8756A">
            <w:pPr>
              <w:numPr>
                <w:ilvl w:val="0"/>
                <w:numId w:val="39"/>
              </w:numPr>
              <w:tabs>
                <w:tab w:val="clear" w:pos="3240"/>
              </w:tabs>
              <w:ind w:left="792"/>
              <w:contextualSpacing/>
              <w:rPr>
                <w:sz w:val="21"/>
                <w:szCs w:val="21"/>
                <w:u w:val="single"/>
              </w:rPr>
            </w:pPr>
            <w:r w:rsidRPr="00EC0B05">
              <w:rPr>
                <w:sz w:val="21"/>
                <w:szCs w:val="21"/>
              </w:rPr>
              <w:t>Applicants with diplomatic immunity are not allowed;</w:t>
            </w:r>
          </w:p>
          <w:p w14:paraId="53869AA6" w14:textId="77777777" w:rsidR="000016AE" w:rsidRPr="00EC0B05" w:rsidRDefault="004E15A9" w:rsidP="00A8756A">
            <w:pPr>
              <w:numPr>
                <w:ilvl w:val="0"/>
                <w:numId w:val="39"/>
              </w:numPr>
              <w:tabs>
                <w:tab w:val="clear" w:pos="3240"/>
              </w:tabs>
              <w:ind w:left="792"/>
              <w:contextualSpacing/>
              <w:rPr>
                <w:sz w:val="21"/>
                <w:szCs w:val="21"/>
                <w:u w:val="single"/>
              </w:rPr>
            </w:pPr>
            <w:r w:rsidRPr="00EC0B05">
              <w:rPr>
                <w:sz w:val="21"/>
                <w:szCs w:val="21"/>
              </w:rPr>
              <w:t>POAs are not allowed</w:t>
            </w:r>
            <w:r w:rsidR="000016AE" w:rsidRPr="00EC0B05">
              <w:rPr>
                <w:sz w:val="21"/>
                <w:szCs w:val="21"/>
              </w:rPr>
              <w:t>;</w:t>
            </w:r>
          </w:p>
          <w:p w14:paraId="6DE7AD0A" w14:textId="77777777" w:rsidR="000016AE" w:rsidRPr="00EC0B05" w:rsidRDefault="000016AE" w:rsidP="00A8756A">
            <w:pPr>
              <w:numPr>
                <w:ilvl w:val="0"/>
                <w:numId w:val="39"/>
              </w:numPr>
              <w:tabs>
                <w:tab w:val="clear" w:pos="3240"/>
              </w:tabs>
              <w:ind w:left="792"/>
              <w:contextualSpacing/>
              <w:rPr>
                <w:sz w:val="21"/>
                <w:szCs w:val="21"/>
                <w:u w:val="single"/>
              </w:rPr>
            </w:pPr>
            <w:r w:rsidRPr="00EC0B05">
              <w:rPr>
                <w:sz w:val="21"/>
                <w:szCs w:val="21"/>
              </w:rPr>
              <w:t>Vesting in an entity is allowed, but no part of the entity can be foreign</w:t>
            </w:r>
          </w:p>
          <w:p w14:paraId="56453586" w14:textId="77777777" w:rsidR="00DF202E" w:rsidRDefault="00DF202E" w:rsidP="00471F7C">
            <w:pPr>
              <w:ind w:left="2880" w:hanging="2880"/>
              <w:contextualSpacing/>
              <w:rPr>
                <w:b/>
                <w:sz w:val="21"/>
                <w:szCs w:val="21"/>
              </w:rPr>
            </w:pPr>
          </w:p>
          <w:p w14:paraId="6BE6578F" w14:textId="77777777" w:rsidR="000016AE" w:rsidRPr="00EC0B05" w:rsidRDefault="000016AE" w:rsidP="00471F7C">
            <w:pPr>
              <w:ind w:left="2880" w:hanging="2880"/>
              <w:contextualSpacing/>
              <w:rPr>
                <w:sz w:val="21"/>
                <w:szCs w:val="21"/>
              </w:rPr>
            </w:pPr>
            <w:r w:rsidRPr="00EC0B05">
              <w:rPr>
                <w:b/>
                <w:sz w:val="21"/>
                <w:szCs w:val="21"/>
              </w:rPr>
              <w:t>Income:</w:t>
            </w:r>
            <w:r w:rsidRPr="00EC0B05">
              <w:rPr>
                <w:sz w:val="21"/>
                <w:szCs w:val="21"/>
              </w:rPr>
              <w:t xml:space="preserve">  </w:t>
            </w:r>
            <w:r w:rsidRPr="00EC0B05">
              <w:rPr>
                <w:sz w:val="21"/>
                <w:szCs w:val="21"/>
              </w:rPr>
              <w:tab/>
            </w:r>
          </w:p>
          <w:p w14:paraId="7EB9FDC2" w14:textId="33ABCF8E" w:rsidR="000016AE" w:rsidRPr="00EC0B05" w:rsidRDefault="000016AE" w:rsidP="00DF4668">
            <w:pPr>
              <w:contextualSpacing/>
              <w:rPr>
                <w:sz w:val="21"/>
                <w:szCs w:val="21"/>
              </w:rPr>
            </w:pPr>
            <w:r w:rsidRPr="00EC0B05">
              <w:rPr>
                <w:sz w:val="21"/>
                <w:szCs w:val="21"/>
              </w:rPr>
              <w:t>Two years</w:t>
            </w:r>
            <w:r w:rsidR="00C51806">
              <w:rPr>
                <w:sz w:val="21"/>
                <w:szCs w:val="21"/>
              </w:rPr>
              <w:t>’</w:t>
            </w:r>
            <w:r w:rsidRPr="00EC0B05">
              <w:rPr>
                <w:sz w:val="21"/>
                <w:szCs w:val="21"/>
              </w:rPr>
              <w:t xml:space="preserve"> tax returns are required from Country of Origin, if tax retu</w:t>
            </w:r>
            <w:r w:rsidR="00C51806">
              <w:rPr>
                <w:sz w:val="21"/>
                <w:szCs w:val="21"/>
              </w:rPr>
              <w:t xml:space="preserve">rns are filed in that country. </w:t>
            </w:r>
            <w:r w:rsidRPr="00EC0B05">
              <w:rPr>
                <w:sz w:val="21"/>
                <w:szCs w:val="21"/>
              </w:rPr>
              <w:t>They must be translated by a 3</w:t>
            </w:r>
            <w:r w:rsidRPr="00EC0B05">
              <w:rPr>
                <w:sz w:val="21"/>
                <w:szCs w:val="21"/>
                <w:vertAlign w:val="superscript"/>
              </w:rPr>
              <w:t>rd</w:t>
            </w:r>
            <w:r w:rsidRPr="00EC0B05">
              <w:rPr>
                <w:sz w:val="21"/>
                <w:szCs w:val="21"/>
              </w:rPr>
              <w:t xml:space="preserve"> party professional translation company.  Convert all currency into USD.  </w:t>
            </w:r>
          </w:p>
          <w:p w14:paraId="40490293" w14:textId="77777777" w:rsidR="000016AE" w:rsidRPr="00EC0B05" w:rsidRDefault="000016AE" w:rsidP="00DF4668">
            <w:pPr>
              <w:ind w:hanging="2880"/>
              <w:contextualSpacing/>
              <w:rPr>
                <w:sz w:val="21"/>
                <w:szCs w:val="21"/>
              </w:rPr>
            </w:pPr>
          </w:p>
          <w:p w14:paraId="4BF4880F" w14:textId="2AB4F833" w:rsidR="000016AE" w:rsidRPr="00EC0B05" w:rsidRDefault="000016AE" w:rsidP="00DF4668">
            <w:pPr>
              <w:ind w:hanging="2880"/>
              <w:contextualSpacing/>
              <w:rPr>
                <w:sz w:val="21"/>
                <w:szCs w:val="21"/>
              </w:rPr>
            </w:pPr>
            <w:r w:rsidRPr="00EC0B05">
              <w:rPr>
                <w:sz w:val="21"/>
                <w:szCs w:val="21"/>
              </w:rPr>
              <w:tab/>
              <w:t>If tax returns are not required</w:t>
            </w:r>
            <w:r w:rsidR="00C51806">
              <w:rPr>
                <w:sz w:val="21"/>
                <w:szCs w:val="21"/>
              </w:rPr>
              <w:t>,</w:t>
            </w:r>
            <w:r w:rsidRPr="00EC0B05">
              <w:rPr>
                <w:sz w:val="21"/>
                <w:szCs w:val="21"/>
              </w:rPr>
              <w:t xml:space="preserve"> then one or more of the following items of documentation may be obtained:</w:t>
            </w:r>
            <w:r w:rsidR="00D35107">
              <w:rPr>
                <w:sz w:val="21"/>
                <w:szCs w:val="21"/>
              </w:rPr>
              <w:t xml:space="preserve">  </w:t>
            </w:r>
          </w:p>
          <w:p w14:paraId="7F148C4D" w14:textId="77777777" w:rsidR="000016AE" w:rsidRPr="00EC0B05" w:rsidRDefault="000016AE" w:rsidP="00A8756A">
            <w:pPr>
              <w:pStyle w:val="ListParagraph"/>
              <w:numPr>
                <w:ilvl w:val="0"/>
                <w:numId w:val="34"/>
              </w:numPr>
              <w:ind w:left="694"/>
              <w:rPr>
                <w:sz w:val="21"/>
                <w:szCs w:val="21"/>
              </w:rPr>
            </w:pPr>
            <w:r w:rsidRPr="00EC0B05">
              <w:rPr>
                <w:sz w:val="21"/>
                <w:szCs w:val="21"/>
              </w:rPr>
              <w:t>CPA (or equivalent) letter verifying income,</w:t>
            </w:r>
          </w:p>
          <w:p w14:paraId="5257528B" w14:textId="77777777" w:rsidR="000016AE" w:rsidRPr="00EC0B05" w:rsidRDefault="000016AE" w:rsidP="00A8756A">
            <w:pPr>
              <w:pStyle w:val="ListParagraph"/>
              <w:numPr>
                <w:ilvl w:val="0"/>
                <w:numId w:val="34"/>
              </w:numPr>
              <w:ind w:left="694"/>
              <w:rPr>
                <w:sz w:val="21"/>
                <w:szCs w:val="21"/>
              </w:rPr>
            </w:pPr>
            <w:r w:rsidRPr="00EC0B05">
              <w:rPr>
                <w:sz w:val="21"/>
                <w:szCs w:val="21"/>
              </w:rPr>
              <w:t>Paystubs or pay statements</w:t>
            </w:r>
          </w:p>
          <w:p w14:paraId="7B067FF9" w14:textId="77777777" w:rsidR="000016AE" w:rsidRPr="00EC0B05" w:rsidRDefault="000016AE" w:rsidP="00A8756A">
            <w:pPr>
              <w:pStyle w:val="ListParagraph"/>
              <w:numPr>
                <w:ilvl w:val="0"/>
                <w:numId w:val="34"/>
              </w:numPr>
              <w:ind w:left="694"/>
              <w:rPr>
                <w:sz w:val="21"/>
                <w:szCs w:val="21"/>
              </w:rPr>
            </w:pPr>
            <w:r w:rsidRPr="00EC0B05">
              <w:rPr>
                <w:sz w:val="21"/>
                <w:szCs w:val="21"/>
              </w:rPr>
              <w:t>Letter from employer</w:t>
            </w:r>
          </w:p>
          <w:p w14:paraId="43687FB9" w14:textId="77777777" w:rsidR="000016AE" w:rsidRPr="00EC0B05" w:rsidRDefault="000016AE" w:rsidP="00471F7C">
            <w:pPr>
              <w:autoSpaceDE w:val="0"/>
              <w:autoSpaceDN w:val="0"/>
              <w:adjustRightInd w:val="0"/>
              <w:contextualSpacing/>
              <w:rPr>
                <w:sz w:val="21"/>
                <w:szCs w:val="21"/>
              </w:rPr>
            </w:pPr>
          </w:p>
          <w:p w14:paraId="1AF8B73F" w14:textId="77777777" w:rsidR="000016AE" w:rsidRPr="00EC0B05" w:rsidRDefault="000016AE" w:rsidP="00DF4668">
            <w:pPr>
              <w:contextualSpacing/>
              <w:rPr>
                <w:sz w:val="21"/>
                <w:szCs w:val="21"/>
              </w:rPr>
            </w:pPr>
            <w:r w:rsidRPr="00EC0B05">
              <w:rPr>
                <w:sz w:val="21"/>
                <w:szCs w:val="21"/>
              </w:rPr>
              <w:t>All must be translated by a 3</w:t>
            </w:r>
            <w:r w:rsidRPr="00EC0B05">
              <w:rPr>
                <w:sz w:val="21"/>
                <w:szCs w:val="21"/>
                <w:vertAlign w:val="superscript"/>
              </w:rPr>
              <w:t>rd</w:t>
            </w:r>
            <w:r w:rsidRPr="00EC0B05">
              <w:rPr>
                <w:sz w:val="21"/>
                <w:szCs w:val="21"/>
              </w:rPr>
              <w:t xml:space="preserve"> party professional translation company.  Convert all currency into U.S. Dollar (“USD”).</w:t>
            </w:r>
          </w:p>
          <w:p w14:paraId="529AB9F6" w14:textId="77777777" w:rsidR="000016AE" w:rsidRPr="00EC0B05" w:rsidRDefault="000016AE" w:rsidP="00DF4668">
            <w:pPr>
              <w:ind w:left="2880" w:hanging="2880"/>
              <w:contextualSpacing/>
              <w:rPr>
                <w:sz w:val="21"/>
                <w:szCs w:val="21"/>
              </w:rPr>
            </w:pPr>
            <w:r w:rsidRPr="00EC0B05">
              <w:rPr>
                <w:sz w:val="21"/>
                <w:szCs w:val="21"/>
              </w:rPr>
              <w:tab/>
            </w:r>
          </w:p>
          <w:p w14:paraId="14DCF68D" w14:textId="77777777" w:rsidR="000016AE" w:rsidRPr="00EC0B05" w:rsidRDefault="000016AE" w:rsidP="00DF4668">
            <w:pPr>
              <w:ind w:left="2880" w:hanging="2880"/>
              <w:contextualSpacing/>
              <w:rPr>
                <w:b/>
                <w:sz w:val="21"/>
                <w:szCs w:val="21"/>
              </w:rPr>
            </w:pPr>
            <w:r w:rsidRPr="00EC0B05">
              <w:rPr>
                <w:b/>
                <w:sz w:val="21"/>
                <w:szCs w:val="21"/>
              </w:rPr>
              <w:t>Credit:</w:t>
            </w:r>
            <w:r w:rsidRPr="00EC0B05">
              <w:rPr>
                <w:b/>
                <w:sz w:val="21"/>
                <w:szCs w:val="21"/>
              </w:rPr>
              <w:tab/>
            </w:r>
          </w:p>
          <w:p w14:paraId="082D3867" w14:textId="10BA054A" w:rsidR="000016AE" w:rsidRPr="00EC0B05" w:rsidRDefault="000016AE" w:rsidP="00DF4668">
            <w:pPr>
              <w:contextualSpacing/>
              <w:rPr>
                <w:sz w:val="21"/>
                <w:szCs w:val="21"/>
              </w:rPr>
            </w:pPr>
            <w:r w:rsidRPr="00EC0B05">
              <w:rPr>
                <w:sz w:val="21"/>
                <w:szCs w:val="21"/>
              </w:rPr>
              <w:t>A minimum of two alternative credit references from Country of Origin are required</w:t>
            </w:r>
            <w:r w:rsidR="00875222">
              <w:rPr>
                <w:sz w:val="21"/>
                <w:szCs w:val="21"/>
              </w:rPr>
              <w:t>, and may consist of:</w:t>
            </w:r>
          </w:p>
          <w:p w14:paraId="49D97CB1" w14:textId="77777777" w:rsidR="000016AE" w:rsidRPr="00EC0B05" w:rsidRDefault="000016AE" w:rsidP="00A8756A">
            <w:pPr>
              <w:pStyle w:val="ListParagraph"/>
              <w:numPr>
                <w:ilvl w:val="4"/>
                <w:numId w:val="35"/>
              </w:numPr>
              <w:ind w:left="702"/>
              <w:rPr>
                <w:sz w:val="21"/>
                <w:szCs w:val="21"/>
              </w:rPr>
            </w:pPr>
            <w:r w:rsidRPr="00EC0B05">
              <w:rPr>
                <w:sz w:val="21"/>
                <w:szCs w:val="21"/>
              </w:rPr>
              <w:t>Mortgage or rental history</w:t>
            </w:r>
          </w:p>
          <w:p w14:paraId="379171C3" w14:textId="77777777" w:rsidR="000016AE" w:rsidRPr="00EC0B05" w:rsidRDefault="000016AE" w:rsidP="00A8756A">
            <w:pPr>
              <w:pStyle w:val="ListParagraph"/>
              <w:numPr>
                <w:ilvl w:val="4"/>
                <w:numId w:val="35"/>
              </w:numPr>
              <w:ind w:left="702"/>
              <w:rPr>
                <w:sz w:val="21"/>
                <w:szCs w:val="21"/>
              </w:rPr>
            </w:pPr>
            <w:r w:rsidRPr="00EC0B05">
              <w:rPr>
                <w:sz w:val="21"/>
                <w:szCs w:val="21"/>
              </w:rPr>
              <w:t>Utilities</w:t>
            </w:r>
          </w:p>
          <w:p w14:paraId="61C6090C" w14:textId="77777777" w:rsidR="000016AE" w:rsidRPr="00EC0B05" w:rsidRDefault="000016AE" w:rsidP="00A8756A">
            <w:pPr>
              <w:pStyle w:val="ListParagraph"/>
              <w:numPr>
                <w:ilvl w:val="4"/>
                <w:numId w:val="35"/>
              </w:numPr>
              <w:ind w:left="702"/>
              <w:rPr>
                <w:sz w:val="21"/>
                <w:szCs w:val="21"/>
              </w:rPr>
            </w:pPr>
            <w:r w:rsidRPr="00EC0B05">
              <w:rPr>
                <w:sz w:val="21"/>
                <w:szCs w:val="21"/>
              </w:rPr>
              <w:t>Banking relationships</w:t>
            </w:r>
            <w:r w:rsidRPr="00EC0B05">
              <w:rPr>
                <w:sz w:val="21"/>
                <w:szCs w:val="21"/>
              </w:rPr>
              <w:tab/>
            </w:r>
          </w:p>
          <w:p w14:paraId="05560EF1" w14:textId="77777777" w:rsidR="000016AE" w:rsidRPr="00EC0B05" w:rsidRDefault="000016AE" w:rsidP="00A8756A">
            <w:pPr>
              <w:pStyle w:val="ListParagraph"/>
              <w:numPr>
                <w:ilvl w:val="4"/>
                <w:numId w:val="35"/>
              </w:numPr>
              <w:ind w:left="702"/>
              <w:rPr>
                <w:sz w:val="21"/>
                <w:szCs w:val="21"/>
              </w:rPr>
            </w:pPr>
            <w:r w:rsidRPr="00EC0B05">
              <w:rPr>
                <w:sz w:val="21"/>
                <w:szCs w:val="21"/>
              </w:rPr>
              <w:t>Credit Cards</w:t>
            </w:r>
          </w:p>
          <w:p w14:paraId="5187F783" w14:textId="77777777" w:rsidR="000016AE" w:rsidRPr="00EC0B05" w:rsidRDefault="000016AE" w:rsidP="00A8756A">
            <w:pPr>
              <w:pStyle w:val="ListParagraph"/>
              <w:numPr>
                <w:ilvl w:val="4"/>
                <w:numId w:val="35"/>
              </w:numPr>
              <w:ind w:left="702"/>
              <w:rPr>
                <w:sz w:val="21"/>
                <w:szCs w:val="21"/>
              </w:rPr>
            </w:pPr>
            <w:r w:rsidRPr="00EC0B05">
              <w:rPr>
                <w:sz w:val="21"/>
                <w:szCs w:val="21"/>
              </w:rPr>
              <w:t xml:space="preserve">Include the payments for the debt in the borrowers BDTI  </w:t>
            </w:r>
          </w:p>
          <w:p w14:paraId="682F2CC3" w14:textId="77777777" w:rsidR="000016AE" w:rsidRPr="00EC0B05" w:rsidRDefault="000016AE" w:rsidP="00A8756A">
            <w:pPr>
              <w:pStyle w:val="ListParagraph"/>
              <w:numPr>
                <w:ilvl w:val="4"/>
                <w:numId w:val="35"/>
              </w:numPr>
              <w:ind w:left="702"/>
              <w:rPr>
                <w:sz w:val="21"/>
                <w:szCs w:val="21"/>
              </w:rPr>
            </w:pPr>
            <w:r w:rsidRPr="00EC0B05">
              <w:rPr>
                <w:sz w:val="21"/>
                <w:szCs w:val="21"/>
              </w:rPr>
              <w:t>Housing payment is required</w:t>
            </w:r>
          </w:p>
          <w:p w14:paraId="48064474" w14:textId="77777777" w:rsidR="007B155D" w:rsidRDefault="007B155D" w:rsidP="00DF4668">
            <w:pPr>
              <w:tabs>
                <w:tab w:val="left" w:pos="2160"/>
              </w:tabs>
              <w:rPr>
                <w:b/>
                <w:sz w:val="21"/>
                <w:szCs w:val="21"/>
              </w:rPr>
            </w:pPr>
          </w:p>
          <w:p w14:paraId="74D51C50" w14:textId="77777777" w:rsidR="004E15A9" w:rsidRPr="00EC0B05" w:rsidRDefault="004E15A9" w:rsidP="00DF4668">
            <w:pPr>
              <w:tabs>
                <w:tab w:val="left" w:pos="2160"/>
              </w:tabs>
              <w:rPr>
                <w:b/>
                <w:sz w:val="21"/>
                <w:szCs w:val="21"/>
              </w:rPr>
            </w:pPr>
            <w:r w:rsidRPr="00EC0B05">
              <w:rPr>
                <w:b/>
                <w:sz w:val="21"/>
                <w:szCs w:val="21"/>
              </w:rPr>
              <w:t>Primary Residence Expenses</w:t>
            </w:r>
          </w:p>
          <w:p w14:paraId="2EAC2359" w14:textId="77777777" w:rsidR="004E15A9" w:rsidRPr="00EC0B05" w:rsidRDefault="004E15A9" w:rsidP="00DF4668">
            <w:pPr>
              <w:tabs>
                <w:tab w:val="left" w:pos="2160"/>
              </w:tabs>
              <w:rPr>
                <w:sz w:val="21"/>
                <w:szCs w:val="21"/>
              </w:rPr>
            </w:pPr>
            <w:r w:rsidRPr="00EC0B05">
              <w:rPr>
                <w:sz w:val="21"/>
                <w:szCs w:val="21"/>
              </w:rPr>
              <w:t>Every NRA loan should include expenses for the primary residence such as rental payments, mortgage, taxes, insurance HOA dues and any other applicable expenses.</w:t>
            </w:r>
          </w:p>
          <w:p w14:paraId="1CD4D198" w14:textId="77777777" w:rsidR="000016AE" w:rsidRPr="00EC0B05" w:rsidRDefault="000016AE" w:rsidP="00471F7C">
            <w:pPr>
              <w:contextualSpacing/>
              <w:rPr>
                <w:sz w:val="21"/>
                <w:szCs w:val="21"/>
              </w:rPr>
            </w:pPr>
          </w:p>
          <w:p w14:paraId="2B7979E7" w14:textId="77777777" w:rsidR="000016AE" w:rsidRPr="00EC0B05" w:rsidRDefault="000016AE" w:rsidP="00DF4668">
            <w:pPr>
              <w:contextualSpacing/>
              <w:rPr>
                <w:sz w:val="21"/>
                <w:szCs w:val="21"/>
              </w:rPr>
            </w:pPr>
            <w:r w:rsidRPr="00EC0B05">
              <w:rPr>
                <w:b/>
                <w:sz w:val="21"/>
                <w:szCs w:val="21"/>
              </w:rPr>
              <w:t>Assets:</w:t>
            </w:r>
            <w:r w:rsidRPr="00EC0B05">
              <w:rPr>
                <w:sz w:val="21"/>
                <w:szCs w:val="21"/>
              </w:rPr>
              <w:tab/>
            </w:r>
          </w:p>
          <w:p w14:paraId="6E4669E8" w14:textId="64DF392C" w:rsidR="000016AE" w:rsidRPr="00EC0B05" w:rsidRDefault="000016AE" w:rsidP="00DF4668">
            <w:pPr>
              <w:contextualSpacing/>
              <w:rPr>
                <w:sz w:val="21"/>
                <w:szCs w:val="21"/>
              </w:rPr>
            </w:pPr>
            <w:r w:rsidRPr="00EC0B05">
              <w:rPr>
                <w:sz w:val="21"/>
                <w:szCs w:val="21"/>
              </w:rPr>
              <w:t>Assets should be verified with two months</w:t>
            </w:r>
            <w:r w:rsidR="00875222">
              <w:rPr>
                <w:sz w:val="21"/>
                <w:szCs w:val="21"/>
              </w:rPr>
              <w:t>’</w:t>
            </w:r>
            <w:r w:rsidRPr="00EC0B05">
              <w:rPr>
                <w:sz w:val="21"/>
                <w:szCs w:val="21"/>
              </w:rPr>
              <w:t xml:space="preserve"> statements from the borrower’s accounts.  If the statements are not in </w:t>
            </w:r>
            <w:r w:rsidR="00875222" w:rsidRPr="00EC0B05">
              <w:rPr>
                <w:sz w:val="21"/>
                <w:szCs w:val="21"/>
              </w:rPr>
              <w:t>English,</w:t>
            </w:r>
            <w:r w:rsidRPr="00EC0B05">
              <w:rPr>
                <w:sz w:val="21"/>
                <w:szCs w:val="21"/>
              </w:rPr>
              <w:t xml:space="preserve"> they must be translated by a 3rd party professional translation company. Convert all currency into USD.  </w:t>
            </w:r>
          </w:p>
          <w:p w14:paraId="1E59E511" w14:textId="77777777" w:rsidR="00E5611A" w:rsidRDefault="00E5611A" w:rsidP="00DF4668">
            <w:pPr>
              <w:pStyle w:val="BodyText"/>
              <w:kinsoku w:val="0"/>
              <w:overflowPunct w:val="0"/>
              <w:ind w:right="183"/>
              <w:rPr>
                <w:rFonts w:asciiTheme="minorHAnsi" w:eastAsiaTheme="minorHAnsi" w:hAnsiTheme="minorHAnsi" w:cstheme="minorBidi"/>
              </w:rPr>
            </w:pPr>
          </w:p>
          <w:p w14:paraId="79B57359" w14:textId="6FFA3EEC" w:rsidR="00E5611A" w:rsidRDefault="00E5611A" w:rsidP="00DF4668">
            <w:pPr>
              <w:pStyle w:val="BodyText"/>
              <w:kinsoku w:val="0"/>
              <w:overflowPunct w:val="0"/>
              <w:ind w:right="183"/>
              <w:rPr>
                <w:rFonts w:asciiTheme="minorHAnsi" w:eastAsiaTheme="minorHAnsi" w:hAnsiTheme="minorHAnsi" w:cstheme="minorBidi"/>
              </w:rPr>
            </w:pPr>
            <w:r>
              <w:rPr>
                <w:rFonts w:asciiTheme="minorHAnsi" w:eastAsiaTheme="minorHAnsi" w:hAnsiTheme="minorHAnsi" w:cstheme="minorBidi"/>
              </w:rPr>
              <w:t>All foreign gift funds should be approved—all donors’ identities, sources of the funds, and employment require such clearance. The Bank will consider gifted funds from a maximum of 5 giftors</w:t>
            </w:r>
            <w:r w:rsidR="00F45566">
              <w:rPr>
                <w:rFonts w:asciiTheme="minorHAnsi" w:eastAsiaTheme="minorHAnsi" w:hAnsiTheme="minorHAnsi" w:cstheme="minorBidi"/>
              </w:rPr>
              <w:t xml:space="preserve"> and none may be, or have any affiliation with, the builder, developer, real estate agent, mortgage banker/broker, or any other interested party to the transaction</w:t>
            </w:r>
            <w:r>
              <w:rPr>
                <w:rFonts w:asciiTheme="minorHAnsi" w:eastAsiaTheme="minorHAnsi" w:hAnsiTheme="minorHAnsi" w:cstheme="minorBidi"/>
              </w:rPr>
              <w:t>.</w:t>
            </w:r>
          </w:p>
          <w:p w14:paraId="411703AF" w14:textId="77777777" w:rsidR="00E5611A" w:rsidRDefault="00E5611A" w:rsidP="00DF4668">
            <w:pPr>
              <w:pStyle w:val="BodyText"/>
              <w:kinsoku w:val="0"/>
              <w:overflowPunct w:val="0"/>
              <w:ind w:right="183"/>
              <w:rPr>
                <w:rFonts w:asciiTheme="minorHAnsi" w:eastAsiaTheme="minorHAnsi" w:hAnsiTheme="minorHAnsi" w:cstheme="minorBidi"/>
              </w:rPr>
            </w:pPr>
          </w:p>
          <w:p w14:paraId="2AF52F36" w14:textId="77777777" w:rsidR="006414FD" w:rsidRPr="00EC0B05" w:rsidRDefault="006414FD" w:rsidP="00DF4668">
            <w:pPr>
              <w:pStyle w:val="BodyText"/>
              <w:kinsoku w:val="0"/>
              <w:overflowPunct w:val="0"/>
              <w:ind w:right="183"/>
              <w:rPr>
                <w:rFonts w:asciiTheme="minorHAnsi" w:eastAsiaTheme="minorHAnsi" w:hAnsiTheme="minorHAnsi" w:cstheme="minorBidi"/>
              </w:rPr>
            </w:pPr>
            <w:r w:rsidRPr="00EC0B05">
              <w:rPr>
                <w:rFonts w:asciiTheme="minorHAnsi" w:eastAsiaTheme="minorHAnsi" w:hAnsiTheme="minorHAnsi" w:cstheme="minorBidi"/>
              </w:rPr>
              <w:t>Additional documents:</w:t>
            </w:r>
          </w:p>
          <w:p w14:paraId="768BECA5" w14:textId="54514A45" w:rsidR="000016AE" w:rsidRPr="00815CA8" w:rsidRDefault="006414FD" w:rsidP="00A8756A">
            <w:pPr>
              <w:pStyle w:val="BodyText"/>
              <w:numPr>
                <w:ilvl w:val="0"/>
                <w:numId w:val="62"/>
              </w:numPr>
              <w:kinsoku w:val="0"/>
              <w:overflowPunct w:val="0"/>
              <w:ind w:left="694" w:right="183"/>
              <w:rPr>
                <w:rFonts w:asciiTheme="minorHAnsi" w:eastAsiaTheme="minorHAnsi" w:hAnsiTheme="minorHAnsi" w:cstheme="minorBidi"/>
              </w:rPr>
            </w:pPr>
            <w:r w:rsidRPr="00EC0B05">
              <w:rPr>
                <w:rFonts w:asciiTheme="minorHAnsi" w:eastAsiaTheme="minorHAnsi" w:hAnsiTheme="minorHAnsi" w:cstheme="minorBidi"/>
              </w:rPr>
              <w:t>US Mailing address must be provided for mailing of monthly statements</w:t>
            </w:r>
          </w:p>
        </w:tc>
      </w:tr>
      <w:tr w:rsidR="00EC0B05" w:rsidRPr="00EC0B05" w14:paraId="75F1406E" w14:textId="77777777" w:rsidTr="0063752F">
        <w:tc>
          <w:tcPr>
            <w:tcW w:w="1336" w:type="pct"/>
          </w:tcPr>
          <w:p w14:paraId="0516CB3A" w14:textId="77777777" w:rsidR="000016AE" w:rsidRPr="00EC0B05" w:rsidRDefault="000016AE" w:rsidP="00471F7C">
            <w:pPr>
              <w:rPr>
                <w:b/>
                <w:sz w:val="21"/>
                <w:szCs w:val="21"/>
              </w:rPr>
            </w:pPr>
            <w:bookmarkStart w:id="75" w:name="opt_to_purch"/>
            <w:r w:rsidRPr="00EC0B05">
              <w:rPr>
                <w:b/>
                <w:sz w:val="21"/>
                <w:szCs w:val="21"/>
              </w:rPr>
              <w:lastRenderedPageBreak/>
              <w:t>Option to Purchase</w:t>
            </w:r>
            <w:bookmarkEnd w:id="75"/>
          </w:p>
        </w:tc>
        <w:tc>
          <w:tcPr>
            <w:tcW w:w="3664" w:type="pct"/>
          </w:tcPr>
          <w:p w14:paraId="567F366D" w14:textId="77777777" w:rsidR="000016AE" w:rsidRPr="00EC0B05" w:rsidRDefault="000016AE" w:rsidP="00DF4668">
            <w:pPr>
              <w:pStyle w:val="BodyText"/>
              <w:tabs>
                <w:tab w:val="left" w:pos="3012"/>
              </w:tabs>
              <w:kinsoku w:val="0"/>
              <w:overflowPunct w:val="0"/>
              <w:rPr>
                <w:rFonts w:asciiTheme="minorHAnsi" w:eastAsiaTheme="minorHAnsi" w:hAnsiTheme="minorHAnsi" w:cstheme="minorBidi"/>
                <w:w w:val="105"/>
              </w:rPr>
            </w:pPr>
            <w:r w:rsidRPr="00EC0B05">
              <w:rPr>
                <w:rFonts w:asciiTheme="minorHAnsi" w:eastAsiaTheme="minorHAnsi" w:hAnsiTheme="minorHAnsi" w:cstheme="minorBidi"/>
                <w:w w:val="105"/>
              </w:rPr>
              <w:t>Rent credit for option to purchase is an acceptable source of funds toward the down payment. If the borrower has been in the home for 12 months, the current appraised value can be utilized to calculate LTV.</w:t>
            </w:r>
          </w:p>
          <w:p w14:paraId="6957E2F0" w14:textId="77777777" w:rsidR="000016AE" w:rsidRPr="00EC0B05" w:rsidRDefault="000016AE" w:rsidP="00DF4668">
            <w:pPr>
              <w:pStyle w:val="BodyText"/>
              <w:tabs>
                <w:tab w:val="left" w:pos="3012"/>
              </w:tabs>
              <w:kinsoku w:val="0"/>
              <w:overflowPunct w:val="0"/>
              <w:rPr>
                <w:rFonts w:asciiTheme="minorHAnsi" w:eastAsiaTheme="minorHAnsi" w:hAnsiTheme="minorHAnsi" w:cstheme="minorBidi"/>
                <w:w w:val="105"/>
              </w:rPr>
            </w:pPr>
          </w:p>
          <w:p w14:paraId="6BAA0E3E" w14:textId="77777777" w:rsidR="000016AE" w:rsidRPr="00EC0B05" w:rsidRDefault="000016AE" w:rsidP="00DF4668">
            <w:pPr>
              <w:pStyle w:val="BodyText"/>
              <w:tabs>
                <w:tab w:val="left" w:pos="3012"/>
              </w:tabs>
              <w:kinsoku w:val="0"/>
              <w:overflowPunct w:val="0"/>
              <w:rPr>
                <w:rFonts w:asciiTheme="minorHAnsi" w:hAnsiTheme="minorHAnsi"/>
                <w:w w:val="110"/>
              </w:rPr>
            </w:pPr>
            <w:r w:rsidRPr="00EC0B05">
              <w:rPr>
                <w:rFonts w:asciiTheme="minorHAnsi" w:eastAsiaTheme="minorHAnsi" w:hAnsiTheme="minorHAnsi" w:cstheme="minorBidi"/>
                <w:w w:val="105"/>
              </w:rPr>
              <w:t xml:space="preserve">The original purchase option agreement is required.  The amount of rent paid in </w:t>
            </w:r>
            <w:r w:rsidRPr="00EC0B05">
              <w:rPr>
                <w:rFonts w:asciiTheme="minorHAnsi" w:eastAsiaTheme="minorHAnsi" w:hAnsiTheme="minorHAnsi" w:cstheme="minorBidi"/>
                <w:w w:val="105"/>
              </w:rPr>
              <w:lastRenderedPageBreak/>
              <w:t xml:space="preserve">excess of market rents as determined by a Rent Survey obtained by the Bank may be applied toward the required down payment. The Rent Survey must determine the market rents as of the time the original purchase option agreement was created and went into effect.  </w:t>
            </w:r>
          </w:p>
        </w:tc>
      </w:tr>
      <w:tr w:rsidR="00EC0B05" w:rsidRPr="00EC0B05" w14:paraId="07A820F8" w14:textId="77777777" w:rsidTr="0063752F">
        <w:tc>
          <w:tcPr>
            <w:tcW w:w="1336" w:type="pct"/>
          </w:tcPr>
          <w:p w14:paraId="4341A8FB" w14:textId="77777777" w:rsidR="000016AE" w:rsidRPr="00EC0B05" w:rsidRDefault="000016AE" w:rsidP="00471F7C">
            <w:pPr>
              <w:rPr>
                <w:b/>
                <w:w w:val="110"/>
                <w:sz w:val="21"/>
                <w:szCs w:val="21"/>
              </w:rPr>
            </w:pPr>
            <w:bookmarkStart w:id="76" w:name="OT_bonuses"/>
            <w:r w:rsidRPr="00EC0B05">
              <w:rPr>
                <w:b/>
                <w:w w:val="110"/>
                <w:sz w:val="21"/>
                <w:szCs w:val="21"/>
              </w:rPr>
              <w:lastRenderedPageBreak/>
              <w:t>Overtime &amp; Bonus</w:t>
            </w:r>
            <w:bookmarkEnd w:id="76"/>
          </w:p>
        </w:tc>
        <w:tc>
          <w:tcPr>
            <w:tcW w:w="3664" w:type="pct"/>
          </w:tcPr>
          <w:p w14:paraId="48FC8A1D" w14:textId="4528AD8E" w:rsidR="000016AE" w:rsidRPr="00EC0B05" w:rsidRDefault="000016AE">
            <w:pPr>
              <w:autoSpaceDE w:val="0"/>
              <w:autoSpaceDN w:val="0"/>
              <w:adjustRightInd w:val="0"/>
              <w:contextualSpacing/>
              <w:rPr>
                <w:w w:val="110"/>
                <w:sz w:val="21"/>
                <w:szCs w:val="21"/>
              </w:rPr>
            </w:pPr>
            <w:r w:rsidRPr="00EC0B05">
              <w:rPr>
                <w:w w:val="110"/>
                <w:sz w:val="21"/>
                <w:szCs w:val="21"/>
              </w:rPr>
              <w:t>A minimum history of two years</w:t>
            </w:r>
            <w:r w:rsidR="00875222">
              <w:rPr>
                <w:w w:val="110"/>
                <w:sz w:val="21"/>
                <w:szCs w:val="21"/>
              </w:rPr>
              <w:t>’</w:t>
            </w:r>
            <w:r w:rsidRPr="00EC0B05">
              <w:rPr>
                <w:w w:val="110"/>
                <w:sz w:val="21"/>
                <w:szCs w:val="21"/>
              </w:rPr>
              <w:t xml:space="preserve"> receipt is recommended.  Borrowers relying on overtime or bonus income for qualifying purposes should have a prior history to be considered stable.</w:t>
            </w:r>
          </w:p>
          <w:p w14:paraId="1B4B47B7" w14:textId="77777777" w:rsidR="000016AE" w:rsidRPr="00EC0B05" w:rsidRDefault="000016AE">
            <w:pPr>
              <w:autoSpaceDE w:val="0"/>
              <w:autoSpaceDN w:val="0"/>
              <w:adjustRightInd w:val="0"/>
              <w:contextualSpacing/>
              <w:rPr>
                <w:w w:val="110"/>
                <w:sz w:val="21"/>
                <w:szCs w:val="21"/>
              </w:rPr>
            </w:pPr>
          </w:p>
          <w:p w14:paraId="320AEE67" w14:textId="77777777" w:rsidR="000016AE" w:rsidRPr="00EC0B05" w:rsidRDefault="000016AE">
            <w:pPr>
              <w:autoSpaceDE w:val="0"/>
              <w:autoSpaceDN w:val="0"/>
              <w:adjustRightInd w:val="0"/>
              <w:contextualSpacing/>
              <w:rPr>
                <w:w w:val="110"/>
                <w:sz w:val="21"/>
                <w:szCs w:val="21"/>
              </w:rPr>
            </w:pPr>
            <w:r w:rsidRPr="00EC0B05">
              <w:rPr>
                <w:w w:val="110"/>
                <w:sz w:val="21"/>
                <w:szCs w:val="21"/>
              </w:rPr>
              <w:t>The following documents should be obtained:</w:t>
            </w:r>
          </w:p>
          <w:p w14:paraId="6868C4BA" w14:textId="77777777" w:rsidR="000016AE" w:rsidRPr="00D35107" w:rsidRDefault="00D35107" w:rsidP="00A8756A">
            <w:pPr>
              <w:pStyle w:val="ListParagraph"/>
              <w:numPr>
                <w:ilvl w:val="0"/>
                <w:numId w:val="49"/>
              </w:numPr>
              <w:autoSpaceDE w:val="0"/>
              <w:autoSpaceDN w:val="0"/>
              <w:adjustRightInd w:val="0"/>
              <w:rPr>
                <w:w w:val="110"/>
                <w:sz w:val="21"/>
                <w:szCs w:val="21"/>
              </w:rPr>
            </w:pPr>
            <w:r w:rsidRPr="00D35107">
              <w:rPr>
                <w:w w:val="110"/>
                <w:sz w:val="21"/>
                <w:szCs w:val="21"/>
              </w:rPr>
              <w:t>C</w:t>
            </w:r>
            <w:r w:rsidR="000016AE" w:rsidRPr="00D35107">
              <w:rPr>
                <w:w w:val="110"/>
                <w:sz w:val="21"/>
                <w:szCs w:val="21"/>
              </w:rPr>
              <w:t>ompleted VOE</w:t>
            </w:r>
          </w:p>
          <w:p w14:paraId="164FEF36" w14:textId="6CDC7A06" w:rsidR="000016AE" w:rsidRPr="00D35107" w:rsidRDefault="00D35107" w:rsidP="00A8756A">
            <w:pPr>
              <w:pStyle w:val="ListParagraph"/>
              <w:numPr>
                <w:ilvl w:val="0"/>
                <w:numId w:val="49"/>
              </w:numPr>
              <w:autoSpaceDE w:val="0"/>
              <w:autoSpaceDN w:val="0"/>
              <w:adjustRightInd w:val="0"/>
              <w:rPr>
                <w:w w:val="110"/>
                <w:sz w:val="21"/>
                <w:szCs w:val="21"/>
              </w:rPr>
            </w:pPr>
            <w:r w:rsidRPr="00D35107">
              <w:rPr>
                <w:w w:val="110"/>
                <w:sz w:val="21"/>
                <w:szCs w:val="21"/>
              </w:rPr>
              <w:t>T</w:t>
            </w:r>
            <w:r w:rsidR="000016AE" w:rsidRPr="00D35107">
              <w:rPr>
                <w:w w:val="110"/>
                <w:sz w:val="21"/>
                <w:szCs w:val="21"/>
              </w:rPr>
              <w:t>he borrower’s recent paystub and IRS W-2 for</w:t>
            </w:r>
            <w:r w:rsidR="00875222">
              <w:rPr>
                <w:w w:val="110"/>
                <w:sz w:val="21"/>
                <w:szCs w:val="21"/>
              </w:rPr>
              <w:t>ms covering the most recent two-</w:t>
            </w:r>
            <w:r w:rsidR="000016AE" w:rsidRPr="00D35107">
              <w:rPr>
                <w:w w:val="110"/>
                <w:sz w:val="21"/>
                <w:szCs w:val="21"/>
              </w:rPr>
              <w:t>year period.</w:t>
            </w:r>
          </w:p>
          <w:p w14:paraId="1398A3B7" w14:textId="77777777" w:rsidR="0092454B" w:rsidRPr="00EC0B05" w:rsidRDefault="0092454B">
            <w:pPr>
              <w:rPr>
                <w:b/>
                <w:w w:val="110"/>
                <w:sz w:val="21"/>
                <w:szCs w:val="21"/>
              </w:rPr>
            </w:pPr>
          </w:p>
          <w:p w14:paraId="61CD66B0" w14:textId="77777777" w:rsidR="0092454B" w:rsidRPr="00EC0B05" w:rsidRDefault="0092454B" w:rsidP="00DF4668">
            <w:pPr>
              <w:pStyle w:val="BodyText"/>
              <w:ind w:right="310"/>
              <w:contextualSpacing/>
              <w:rPr>
                <w:rFonts w:asciiTheme="minorHAnsi" w:eastAsiaTheme="minorHAnsi" w:hAnsiTheme="minorHAnsi" w:cstheme="minorBidi"/>
                <w:w w:val="110"/>
              </w:rPr>
            </w:pPr>
            <w:r w:rsidRPr="00EC0B05">
              <w:rPr>
                <w:rFonts w:asciiTheme="minorHAnsi" w:eastAsiaTheme="minorHAnsi" w:hAnsiTheme="minorHAnsi" w:cstheme="minorBidi"/>
                <w:w w:val="110"/>
              </w:rPr>
              <w:t xml:space="preserve">Using biweekly overtime to qualify, analyze the most recent paystub to confirm that the earnings match the historic annual income values. </w:t>
            </w:r>
          </w:p>
          <w:p w14:paraId="1FE96B85" w14:textId="77777777" w:rsidR="0092454B" w:rsidRPr="00EC0B05" w:rsidRDefault="0092454B" w:rsidP="00471F7C">
            <w:pPr>
              <w:rPr>
                <w:b/>
                <w:w w:val="110"/>
                <w:sz w:val="21"/>
                <w:szCs w:val="21"/>
              </w:rPr>
            </w:pPr>
          </w:p>
          <w:p w14:paraId="58CE9146" w14:textId="77777777" w:rsidR="0092454B" w:rsidRPr="00EC0B05" w:rsidRDefault="0092454B">
            <w:pPr>
              <w:pStyle w:val="BodyText"/>
              <w:autoSpaceDE/>
              <w:autoSpaceDN/>
              <w:adjustRightInd/>
              <w:ind w:right="222"/>
              <w:contextualSpacing/>
              <w:rPr>
                <w:rFonts w:asciiTheme="minorHAnsi" w:hAnsiTheme="minorHAnsi"/>
                <w:w w:val="110"/>
              </w:rPr>
            </w:pPr>
            <w:r w:rsidRPr="00EC0B05">
              <w:rPr>
                <w:rFonts w:asciiTheme="minorHAnsi" w:eastAsiaTheme="minorHAnsi" w:hAnsiTheme="minorHAnsi" w:cstheme="minorBidi"/>
                <w:w w:val="110"/>
              </w:rPr>
              <w:t>Borrowers using an annual bonus for qualification will have the annual amount divided by 12 to derive the monthly amount for qualifying purposes.  If the borrower has a history of receipt, the prior year’s bonus may be utilized for qualifying even if the borrower has not received the bonus in the current year, as long as there is a contract or VOE to assess the likelihood of recurrence. Bonuses should demonstrate a stable or upward trend and may be averaged or otherwise justified based on underwriter discretion.</w:t>
            </w:r>
          </w:p>
        </w:tc>
      </w:tr>
      <w:tr w:rsidR="00EC0B05" w:rsidRPr="00EC0B05" w14:paraId="6FD6369B" w14:textId="77777777" w:rsidTr="0063752F">
        <w:tc>
          <w:tcPr>
            <w:tcW w:w="1336" w:type="pct"/>
          </w:tcPr>
          <w:p w14:paraId="58058B35" w14:textId="77777777" w:rsidR="000016AE" w:rsidRPr="00EC0B05" w:rsidRDefault="000016AE" w:rsidP="00471F7C">
            <w:pPr>
              <w:rPr>
                <w:b/>
                <w:w w:val="110"/>
                <w:sz w:val="21"/>
                <w:szCs w:val="21"/>
              </w:rPr>
            </w:pPr>
            <w:bookmarkStart w:id="77" w:name="PT_second_job"/>
            <w:r w:rsidRPr="00EC0B05">
              <w:rPr>
                <w:b/>
                <w:w w:val="110"/>
                <w:sz w:val="21"/>
                <w:szCs w:val="21"/>
              </w:rPr>
              <w:t>Part Time and/or Second Job</w:t>
            </w:r>
            <w:bookmarkEnd w:id="77"/>
          </w:p>
        </w:tc>
        <w:tc>
          <w:tcPr>
            <w:tcW w:w="3664" w:type="pct"/>
          </w:tcPr>
          <w:p w14:paraId="67BA442C" w14:textId="77777777" w:rsidR="000016AE" w:rsidRPr="00EC0B05" w:rsidRDefault="000016AE">
            <w:pPr>
              <w:autoSpaceDE w:val="0"/>
              <w:autoSpaceDN w:val="0"/>
              <w:adjustRightInd w:val="0"/>
              <w:contextualSpacing/>
              <w:rPr>
                <w:w w:val="110"/>
                <w:sz w:val="21"/>
                <w:szCs w:val="21"/>
              </w:rPr>
            </w:pPr>
            <w:r w:rsidRPr="00EC0B05">
              <w:rPr>
                <w:w w:val="110"/>
                <w:sz w:val="21"/>
                <w:szCs w:val="21"/>
              </w:rPr>
              <w:t xml:space="preserve">Verification of a minimum history of two years of uninterrupted secondary employment income is recommended.  </w:t>
            </w:r>
          </w:p>
        </w:tc>
      </w:tr>
      <w:tr w:rsidR="00EC0B05" w:rsidRPr="00EC0B05" w14:paraId="2943C9C0" w14:textId="77777777" w:rsidTr="0063752F">
        <w:tc>
          <w:tcPr>
            <w:tcW w:w="1336" w:type="pct"/>
          </w:tcPr>
          <w:p w14:paraId="2423A7B5" w14:textId="77777777" w:rsidR="000016AE" w:rsidRPr="00EC0B05" w:rsidRDefault="000016AE" w:rsidP="00471F7C">
            <w:pPr>
              <w:rPr>
                <w:b/>
                <w:sz w:val="21"/>
                <w:szCs w:val="21"/>
              </w:rPr>
            </w:pPr>
            <w:bookmarkStart w:id="78" w:name="pledged_assets"/>
            <w:r w:rsidRPr="00EC0B05">
              <w:rPr>
                <w:b/>
                <w:sz w:val="21"/>
                <w:szCs w:val="21"/>
              </w:rPr>
              <w:t>Pledged Assets</w:t>
            </w:r>
            <w:bookmarkEnd w:id="78"/>
          </w:p>
        </w:tc>
        <w:tc>
          <w:tcPr>
            <w:tcW w:w="3664" w:type="pct"/>
          </w:tcPr>
          <w:p w14:paraId="06E58F51" w14:textId="77777777" w:rsidR="000016AE" w:rsidRPr="00EC0B05" w:rsidRDefault="000016AE">
            <w:pPr>
              <w:rPr>
                <w:w w:val="110"/>
                <w:sz w:val="21"/>
                <w:szCs w:val="21"/>
              </w:rPr>
            </w:pPr>
            <w:r w:rsidRPr="00EC0B05">
              <w:rPr>
                <w:w w:val="110"/>
                <w:sz w:val="21"/>
                <w:szCs w:val="21"/>
              </w:rPr>
              <w:t>The pledged asset program allows up to 90% financing of the property value (the lesser of the appraised value or the purchase price).</w:t>
            </w:r>
            <w:r w:rsidR="00F21FC5" w:rsidRPr="00EC0B05">
              <w:rPr>
                <w:w w:val="110"/>
                <w:sz w:val="21"/>
                <w:szCs w:val="21"/>
              </w:rPr>
              <w:t xml:space="preserve"> </w:t>
            </w:r>
            <w:r w:rsidR="005A0D31" w:rsidRPr="00EC0B05">
              <w:rPr>
                <w:w w:val="110"/>
                <w:sz w:val="21"/>
                <w:szCs w:val="21"/>
              </w:rPr>
              <w:t xml:space="preserve">The fee </w:t>
            </w:r>
            <w:r w:rsidR="00F21FC5" w:rsidRPr="00EC0B05">
              <w:rPr>
                <w:w w:val="110"/>
                <w:sz w:val="21"/>
                <w:szCs w:val="21"/>
              </w:rPr>
              <w:t xml:space="preserve">for </w:t>
            </w:r>
            <w:r w:rsidR="00E6193F" w:rsidRPr="00EC0B05">
              <w:rPr>
                <w:w w:val="110"/>
                <w:sz w:val="21"/>
                <w:szCs w:val="21"/>
              </w:rPr>
              <w:t xml:space="preserve">pledged asset </w:t>
            </w:r>
            <w:r w:rsidR="00F21FC5" w:rsidRPr="00EC0B05">
              <w:rPr>
                <w:w w:val="110"/>
                <w:sz w:val="21"/>
                <w:szCs w:val="21"/>
              </w:rPr>
              <w:t>loans is $250.</w:t>
            </w:r>
          </w:p>
          <w:p w14:paraId="2FB7D19F" w14:textId="77777777" w:rsidR="000016AE" w:rsidRPr="00EC0B05" w:rsidRDefault="000016AE">
            <w:pPr>
              <w:rPr>
                <w:w w:val="110"/>
                <w:sz w:val="21"/>
                <w:szCs w:val="21"/>
              </w:rPr>
            </w:pPr>
          </w:p>
          <w:p w14:paraId="39F18745" w14:textId="77777777" w:rsidR="000016AE" w:rsidRPr="00EC0B05" w:rsidRDefault="000016AE">
            <w:pPr>
              <w:rPr>
                <w:sz w:val="21"/>
                <w:szCs w:val="21"/>
              </w:rPr>
            </w:pPr>
            <w:r w:rsidRPr="00EC0B05">
              <w:rPr>
                <w:b/>
                <w:sz w:val="21"/>
                <w:szCs w:val="21"/>
              </w:rPr>
              <w:t>Borrower Requirements</w:t>
            </w:r>
            <w:r w:rsidRPr="00EC0B05">
              <w:rPr>
                <w:sz w:val="21"/>
                <w:szCs w:val="21"/>
              </w:rPr>
              <w:t xml:space="preserve">: </w:t>
            </w:r>
            <w:r w:rsidRPr="00EC0B05">
              <w:rPr>
                <w:sz w:val="21"/>
                <w:szCs w:val="21"/>
              </w:rPr>
              <w:tab/>
            </w:r>
          </w:p>
          <w:p w14:paraId="01DF38FD" w14:textId="77777777" w:rsidR="000016AE" w:rsidRPr="00EC0B05" w:rsidRDefault="000016AE">
            <w:pPr>
              <w:rPr>
                <w:w w:val="110"/>
                <w:sz w:val="21"/>
                <w:szCs w:val="21"/>
              </w:rPr>
            </w:pPr>
            <w:r w:rsidRPr="00EC0B05">
              <w:rPr>
                <w:w w:val="110"/>
                <w:sz w:val="21"/>
                <w:szCs w:val="21"/>
              </w:rPr>
              <w:t>The obligor (the party that pledges the eligible assets) does not have to be the borrower nor does the obligor need to have a family relation to the borrower.</w:t>
            </w:r>
          </w:p>
          <w:p w14:paraId="6B99E9FF" w14:textId="77777777" w:rsidR="000016AE" w:rsidRPr="00EC0B05" w:rsidRDefault="000016AE">
            <w:pPr>
              <w:rPr>
                <w:w w:val="110"/>
                <w:sz w:val="21"/>
                <w:szCs w:val="21"/>
              </w:rPr>
            </w:pPr>
          </w:p>
          <w:p w14:paraId="0AB2BC4D" w14:textId="77777777" w:rsidR="000016AE" w:rsidRPr="00EC0B05" w:rsidRDefault="000016AE">
            <w:pPr>
              <w:contextualSpacing/>
              <w:rPr>
                <w:sz w:val="21"/>
                <w:szCs w:val="21"/>
              </w:rPr>
            </w:pPr>
            <w:r w:rsidRPr="00EC0B05">
              <w:rPr>
                <w:b/>
                <w:sz w:val="21"/>
                <w:szCs w:val="21"/>
              </w:rPr>
              <w:t>Eligible Properties</w:t>
            </w:r>
            <w:r w:rsidRPr="00EC0B05">
              <w:rPr>
                <w:sz w:val="21"/>
                <w:szCs w:val="21"/>
              </w:rPr>
              <w:t>:</w:t>
            </w:r>
            <w:r w:rsidRPr="00EC0B05">
              <w:rPr>
                <w:sz w:val="21"/>
                <w:szCs w:val="21"/>
              </w:rPr>
              <w:tab/>
            </w:r>
            <w:r w:rsidRPr="00EC0B05">
              <w:rPr>
                <w:sz w:val="21"/>
                <w:szCs w:val="21"/>
              </w:rPr>
              <w:tab/>
            </w:r>
          </w:p>
          <w:p w14:paraId="05EE864E" w14:textId="77777777" w:rsidR="000016AE" w:rsidRPr="00EC0B05" w:rsidRDefault="000016AE">
            <w:pPr>
              <w:contextualSpacing/>
              <w:rPr>
                <w:w w:val="110"/>
                <w:sz w:val="21"/>
                <w:szCs w:val="21"/>
              </w:rPr>
            </w:pPr>
            <w:r w:rsidRPr="00EC0B05">
              <w:rPr>
                <w:w w:val="110"/>
                <w:sz w:val="21"/>
                <w:szCs w:val="21"/>
              </w:rPr>
              <w:t>Residences, Second Homes, and Investment Properties</w:t>
            </w:r>
          </w:p>
          <w:p w14:paraId="2AA317E2" w14:textId="77777777" w:rsidR="000016AE" w:rsidRPr="00EC0B05" w:rsidRDefault="000016AE">
            <w:pPr>
              <w:contextualSpacing/>
              <w:rPr>
                <w:w w:val="110"/>
                <w:sz w:val="21"/>
                <w:szCs w:val="21"/>
              </w:rPr>
            </w:pPr>
            <w:r w:rsidRPr="00EC0B05">
              <w:rPr>
                <w:w w:val="110"/>
                <w:sz w:val="21"/>
                <w:szCs w:val="21"/>
              </w:rPr>
              <w:t>Not available in Washington DC, West Virginia, and Virginia.</w:t>
            </w:r>
          </w:p>
          <w:p w14:paraId="4DD7FFC2" w14:textId="77777777" w:rsidR="000016AE" w:rsidRPr="00EC0B05" w:rsidRDefault="000016AE">
            <w:pPr>
              <w:contextualSpacing/>
              <w:rPr>
                <w:w w:val="110"/>
                <w:sz w:val="21"/>
                <w:szCs w:val="21"/>
              </w:rPr>
            </w:pPr>
          </w:p>
          <w:p w14:paraId="727B9A54" w14:textId="77777777" w:rsidR="000016AE" w:rsidRPr="00EC0B05" w:rsidRDefault="000016AE">
            <w:pPr>
              <w:ind w:left="2880" w:hanging="2880"/>
              <w:contextualSpacing/>
              <w:rPr>
                <w:sz w:val="21"/>
                <w:szCs w:val="21"/>
              </w:rPr>
            </w:pPr>
            <w:r w:rsidRPr="00EC0B05">
              <w:rPr>
                <w:b/>
                <w:sz w:val="21"/>
                <w:szCs w:val="21"/>
              </w:rPr>
              <w:t>Eligible Liquid Assets</w:t>
            </w:r>
            <w:r w:rsidRPr="00EC0B05">
              <w:rPr>
                <w:sz w:val="21"/>
                <w:szCs w:val="21"/>
              </w:rPr>
              <w:t>:</w:t>
            </w:r>
            <w:r w:rsidRPr="00EC0B05">
              <w:rPr>
                <w:sz w:val="21"/>
                <w:szCs w:val="21"/>
              </w:rPr>
              <w:tab/>
            </w:r>
          </w:p>
          <w:p w14:paraId="0ADC7517" w14:textId="77777777" w:rsidR="00D35107" w:rsidRDefault="000016AE" w:rsidP="00A8756A">
            <w:pPr>
              <w:pStyle w:val="ListParagraph"/>
              <w:numPr>
                <w:ilvl w:val="0"/>
                <w:numId w:val="50"/>
              </w:numPr>
              <w:rPr>
                <w:w w:val="110"/>
                <w:sz w:val="21"/>
                <w:szCs w:val="21"/>
              </w:rPr>
            </w:pPr>
            <w:r w:rsidRPr="00D35107">
              <w:rPr>
                <w:w w:val="110"/>
                <w:sz w:val="21"/>
                <w:szCs w:val="21"/>
              </w:rPr>
              <w:t xml:space="preserve">Eligible Assets include stocks, bonds, CD’s, savings accounts and mutual funds. </w:t>
            </w:r>
          </w:p>
          <w:p w14:paraId="4684AE79" w14:textId="4FD47213" w:rsidR="00D35107" w:rsidRDefault="000016AE" w:rsidP="00A8756A">
            <w:pPr>
              <w:pStyle w:val="ListParagraph"/>
              <w:numPr>
                <w:ilvl w:val="0"/>
                <w:numId w:val="50"/>
              </w:numPr>
              <w:rPr>
                <w:w w:val="110"/>
                <w:sz w:val="21"/>
                <w:szCs w:val="21"/>
              </w:rPr>
            </w:pPr>
            <w:r w:rsidRPr="00D35107">
              <w:rPr>
                <w:w w:val="110"/>
                <w:sz w:val="21"/>
                <w:szCs w:val="21"/>
              </w:rPr>
              <w:t xml:space="preserve">Eligible Assets must be managed by an Investment Broker/Dealer or </w:t>
            </w:r>
            <w:r w:rsidR="002D1DA1">
              <w:rPr>
                <w:w w:val="110"/>
                <w:sz w:val="21"/>
                <w:szCs w:val="21"/>
              </w:rPr>
              <w:br/>
              <w:t>Axos Bank</w:t>
            </w:r>
            <w:r w:rsidRPr="00D35107">
              <w:rPr>
                <w:w w:val="110"/>
                <w:sz w:val="21"/>
                <w:szCs w:val="21"/>
              </w:rPr>
              <w:t xml:space="preserve">. </w:t>
            </w:r>
          </w:p>
          <w:p w14:paraId="6B263DDB" w14:textId="77777777" w:rsidR="00D35107" w:rsidRDefault="000016AE" w:rsidP="00A8756A">
            <w:pPr>
              <w:pStyle w:val="ListParagraph"/>
              <w:numPr>
                <w:ilvl w:val="0"/>
                <w:numId w:val="50"/>
              </w:numPr>
              <w:rPr>
                <w:w w:val="110"/>
                <w:sz w:val="21"/>
                <w:szCs w:val="21"/>
              </w:rPr>
            </w:pPr>
            <w:r w:rsidRPr="00D35107">
              <w:rPr>
                <w:w w:val="110"/>
                <w:sz w:val="21"/>
                <w:szCs w:val="21"/>
              </w:rPr>
              <w:t>Eligible Assets must be held in an account based in the U.S., either by a U.S. entity or the U.S. branch of a foreign entity.</w:t>
            </w:r>
          </w:p>
          <w:p w14:paraId="351FFBF6" w14:textId="77777777" w:rsidR="000016AE" w:rsidRPr="00D35107" w:rsidRDefault="000016AE" w:rsidP="00A8756A">
            <w:pPr>
              <w:pStyle w:val="ListParagraph"/>
              <w:numPr>
                <w:ilvl w:val="0"/>
                <w:numId w:val="50"/>
              </w:numPr>
              <w:rPr>
                <w:w w:val="110"/>
                <w:sz w:val="21"/>
                <w:szCs w:val="21"/>
              </w:rPr>
            </w:pPr>
            <w:r w:rsidRPr="00D35107">
              <w:rPr>
                <w:w w:val="110"/>
                <w:sz w:val="21"/>
                <w:szCs w:val="21"/>
              </w:rPr>
              <w:t xml:space="preserve">Eligible Assets do not include assets bought on margin, options, warrants, IRA assets, 401K assets, annuities, insurance benefits, and 529 or other education savings plans.  </w:t>
            </w:r>
          </w:p>
          <w:p w14:paraId="2711DA85" w14:textId="77777777" w:rsidR="000016AE" w:rsidRPr="00EC0B05" w:rsidRDefault="000016AE" w:rsidP="00DF4668">
            <w:pPr>
              <w:rPr>
                <w:w w:val="110"/>
                <w:sz w:val="21"/>
                <w:szCs w:val="21"/>
              </w:rPr>
            </w:pPr>
          </w:p>
          <w:p w14:paraId="72F8E519" w14:textId="77777777" w:rsidR="000016AE" w:rsidRPr="00EC0B05" w:rsidRDefault="000016AE" w:rsidP="00471F7C">
            <w:pPr>
              <w:rPr>
                <w:b/>
                <w:sz w:val="21"/>
                <w:szCs w:val="21"/>
              </w:rPr>
            </w:pPr>
            <w:r w:rsidRPr="00EC0B05">
              <w:rPr>
                <w:b/>
                <w:sz w:val="21"/>
                <w:szCs w:val="21"/>
              </w:rPr>
              <w:t>Securities Documentation</w:t>
            </w:r>
          </w:p>
          <w:p w14:paraId="5179E68B" w14:textId="77777777" w:rsidR="000016AE" w:rsidRPr="00EC0B05" w:rsidRDefault="000016AE" w:rsidP="00DF4668">
            <w:pPr>
              <w:ind w:left="2880" w:hanging="2880"/>
              <w:contextualSpacing/>
              <w:rPr>
                <w:w w:val="110"/>
                <w:sz w:val="21"/>
                <w:szCs w:val="21"/>
              </w:rPr>
            </w:pPr>
            <w:r w:rsidRPr="00EC0B05">
              <w:rPr>
                <w:w w:val="110"/>
                <w:sz w:val="21"/>
                <w:szCs w:val="21"/>
              </w:rPr>
              <w:t>If securities are pledged</w:t>
            </w:r>
            <w:r w:rsidR="00DE4E74" w:rsidRPr="00EC0B05">
              <w:rPr>
                <w:w w:val="110"/>
                <w:sz w:val="21"/>
                <w:szCs w:val="21"/>
              </w:rPr>
              <w:t>, a review and approval</w:t>
            </w:r>
            <w:r w:rsidR="00D35107">
              <w:rPr>
                <w:w w:val="110"/>
                <w:sz w:val="21"/>
                <w:szCs w:val="21"/>
              </w:rPr>
              <w:t xml:space="preserve"> of the securities is required:</w:t>
            </w:r>
          </w:p>
          <w:p w14:paraId="4C8E4314" w14:textId="77777777" w:rsidR="000016AE" w:rsidRPr="00EC0B05" w:rsidRDefault="000016AE" w:rsidP="00A8756A">
            <w:pPr>
              <w:pStyle w:val="ListParagraph"/>
              <w:numPr>
                <w:ilvl w:val="0"/>
                <w:numId w:val="32"/>
              </w:numPr>
              <w:ind w:left="702"/>
              <w:rPr>
                <w:w w:val="110"/>
                <w:sz w:val="21"/>
                <w:szCs w:val="21"/>
              </w:rPr>
            </w:pPr>
            <w:r w:rsidRPr="00EC0B05">
              <w:rPr>
                <w:w w:val="110"/>
                <w:sz w:val="21"/>
                <w:szCs w:val="21"/>
              </w:rPr>
              <w:lastRenderedPageBreak/>
              <w:t>The borrower/obligor must execute the Pledge Agreement prior to loan funding; and</w:t>
            </w:r>
          </w:p>
          <w:p w14:paraId="08B03547" w14:textId="7D809521" w:rsidR="000016AE" w:rsidRPr="00EC0B05" w:rsidRDefault="000016AE" w:rsidP="00A8756A">
            <w:pPr>
              <w:pStyle w:val="ListParagraph"/>
              <w:numPr>
                <w:ilvl w:val="0"/>
                <w:numId w:val="32"/>
              </w:numPr>
              <w:ind w:left="702"/>
              <w:rPr>
                <w:w w:val="110"/>
                <w:sz w:val="21"/>
                <w:szCs w:val="21"/>
              </w:rPr>
            </w:pPr>
            <w:r w:rsidRPr="00EC0B05">
              <w:rPr>
                <w:w w:val="110"/>
                <w:sz w:val="21"/>
                <w:szCs w:val="21"/>
              </w:rPr>
              <w:t xml:space="preserve">The securities intermediary must execute the Account Control Agreement prior to loan funding.  If the borrower is pledging funds outside of </w:t>
            </w:r>
            <w:r w:rsidR="002D1DA1">
              <w:rPr>
                <w:w w:val="110"/>
                <w:sz w:val="21"/>
                <w:szCs w:val="21"/>
              </w:rPr>
              <w:br/>
              <w:t>Axos Bank</w:t>
            </w:r>
            <w:r w:rsidRPr="00EC0B05">
              <w:rPr>
                <w:w w:val="110"/>
                <w:sz w:val="21"/>
                <w:szCs w:val="21"/>
              </w:rPr>
              <w:t xml:space="preserve">, the control agreement must be reviewed and approved by legal.  </w:t>
            </w:r>
            <w:r w:rsidR="00164EEA" w:rsidRPr="00EC0B05">
              <w:rPr>
                <w:w w:val="110"/>
                <w:sz w:val="21"/>
                <w:szCs w:val="21"/>
              </w:rPr>
              <w:t xml:space="preserve">(3 Copies </w:t>
            </w:r>
            <w:r w:rsidR="00ED6EBD" w:rsidRPr="00EC0B05">
              <w:rPr>
                <w:w w:val="110"/>
                <w:sz w:val="21"/>
                <w:szCs w:val="21"/>
              </w:rPr>
              <w:t>required</w:t>
            </w:r>
            <w:r w:rsidR="00767449" w:rsidRPr="00EC0B05">
              <w:rPr>
                <w:w w:val="110"/>
                <w:sz w:val="21"/>
                <w:szCs w:val="21"/>
              </w:rPr>
              <w:t xml:space="preserve">- </w:t>
            </w:r>
            <w:r w:rsidR="00164EEA" w:rsidRPr="00EC0B05">
              <w:rPr>
                <w:w w:val="110"/>
                <w:sz w:val="21"/>
                <w:szCs w:val="21"/>
              </w:rPr>
              <w:t xml:space="preserve">plus </w:t>
            </w:r>
            <w:r w:rsidR="0012455A">
              <w:rPr>
                <w:w w:val="110"/>
                <w:sz w:val="21"/>
                <w:szCs w:val="21"/>
              </w:rPr>
              <w:t>the securities intermediary’s</w:t>
            </w:r>
            <w:r w:rsidR="00767449" w:rsidRPr="00EC0B05">
              <w:rPr>
                <w:w w:val="110"/>
                <w:sz w:val="21"/>
                <w:szCs w:val="21"/>
              </w:rPr>
              <w:t xml:space="preserve"> business card)</w:t>
            </w:r>
          </w:p>
          <w:p w14:paraId="6AF8A48E" w14:textId="77777777" w:rsidR="004813C0" w:rsidRPr="00EC0B05" w:rsidRDefault="004813C0" w:rsidP="00A8756A">
            <w:pPr>
              <w:pStyle w:val="ListParagraph"/>
              <w:numPr>
                <w:ilvl w:val="0"/>
                <w:numId w:val="32"/>
              </w:numPr>
              <w:ind w:left="702"/>
              <w:rPr>
                <w:w w:val="110"/>
                <w:sz w:val="20"/>
                <w:szCs w:val="20"/>
              </w:rPr>
            </w:pPr>
            <w:r w:rsidRPr="00EC0B05">
              <w:rPr>
                <w:w w:val="110"/>
                <w:sz w:val="21"/>
                <w:szCs w:val="21"/>
              </w:rPr>
              <w:t xml:space="preserve">FR U-I Form must be completed and executed by borrower. Forms can be found at:  </w:t>
            </w:r>
            <w:hyperlink r:id="rId12" w:history="1">
              <w:r w:rsidR="00D35107" w:rsidRPr="008E69A5">
                <w:rPr>
                  <w:rStyle w:val="Hyperlink"/>
                  <w:w w:val="110"/>
                  <w:sz w:val="21"/>
                  <w:szCs w:val="21"/>
                </w:rPr>
                <w:t>https://www.federalreserve.gov/apps/reportforms/default.aspx</w:t>
              </w:r>
            </w:hyperlink>
            <w:r w:rsidR="00D35107">
              <w:rPr>
                <w:w w:val="110"/>
                <w:sz w:val="21"/>
                <w:szCs w:val="21"/>
              </w:rPr>
              <w:t xml:space="preserve"> </w:t>
            </w:r>
          </w:p>
          <w:p w14:paraId="0F1C53C1" w14:textId="77777777" w:rsidR="00E96C8F" w:rsidRDefault="00E96C8F" w:rsidP="00471F7C">
            <w:pPr>
              <w:ind w:left="2880" w:hanging="2880"/>
              <w:contextualSpacing/>
              <w:rPr>
                <w:b/>
                <w:sz w:val="21"/>
                <w:szCs w:val="21"/>
              </w:rPr>
            </w:pPr>
          </w:p>
          <w:p w14:paraId="5FCDCB87" w14:textId="77777777" w:rsidR="000016AE" w:rsidRPr="00EC0B05" w:rsidRDefault="000016AE" w:rsidP="00471F7C">
            <w:pPr>
              <w:ind w:left="2880" w:hanging="2880"/>
              <w:contextualSpacing/>
              <w:rPr>
                <w:sz w:val="21"/>
                <w:szCs w:val="21"/>
              </w:rPr>
            </w:pPr>
            <w:r w:rsidRPr="00EC0B05">
              <w:rPr>
                <w:b/>
                <w:sz w:val="21"/>
                <w:szCs w:val="21"/>
              </w:rPr>
              <w:t>Pledge Amount</w:t>
            </w:r>
            <w:r w:rsidRPr="00EC0B05">
              <w:rPr>
                <w:sz w:val="21"/>
                <w:szCs w:val="21"/>
              </w:rPr>
              <w:t>:</w:t>
            </w:r>
            <w:r w:rsidRPr="00EC0B05">
              <w:rPr>
                <w:sz w:val="21"/>
                <w:szCs w:val="21"/>
              </w:rPr>
              <w:tab/>
            </w:r>
          </w:p>
          <w:p w14:paraId="7505E244" w14:textId="77777777" w:rsidR="000016AE" w:rsidRPr="00EC0B05" w:rsidRDefault="000016AE">
            <w:pPr>
              <w:contextualSpacing/>
              <w:rPr>
                <w:w w:val="110"/>
                <w:sz w:val="21"/>
                <w:szCs w:val="21"/>
              </w:rPr>
            </w:pPr>
            <w:r w:rsidRPr="00EC0B05">
              <w:rPr>
                <w:w w:val="110"/>
                <w:sz w:val="21"/>
                <w:szCs w:val="21"/>
              </w:rPr>
              <w:t>The base pledge amount equals the equity requirement percentage multiplied by the property value (minus any equity or down payment).</w:t>
            </w:r>
          </w:p>
          <w:p w14:paraId="7DC63DF0" w14:textId="77777777" w:rsidR="000016AE" w:rsidRPr="00EC0B05" w:rsidRDefault="000016AE">
            <w:pPr>
              <w:contextualSpacing/>
              <w:rPr>
                <w:w w:val="110"/>
                <w:sz w:val="21"/>
                <w:szCs w:val="21"/>
              </w:rPr>
            </w:pPr>
          </w:p>
          <w:p w14:paraId="39432E7A" w14:textId="77777777" w:rsidR="000016AE" w:rsidRPr="00EC0B05" w:rsidRDefault="000016AE">
            <w:pPr>
              <w:contextualSpacing/>
              <w:rPr>
                <w:w w:val="110"/>
                <w:sz w:val="21"/>
                <w:szCs w:val="21"/>
              </w:rPr>
            </w:pPr>
            <w:r w:rsidRPr="00EC0B05">
              <w:rPr>
                <w:w w:val="110"/>
                <w:sz w:val="21"/>
                <w:szCs w:val="21"/>
              </w:rPr>
              <w:t xml:space="preserve">The Initial Pledge Amount equals the Base Pledge Amount multiplied by two hundred percent (200%), if non cash and one hundred percent (100%), if cash.  </w:t>
            </w:r>
          </w:p>
          <w:p w14:paraId="615AD5C3" w14:textId="60DFD4B7" w:rsidR="000016AE" w:rsidRPr="00EC0B05" w:rsidRDefault="000016AE">
            <w:pPr>
              <w:contextualSpacing/>
              <w:rPr>
                <w:w w:val="110"/>
                <w:sz w:val="21"/>
                <w:szCs w:val="21"/>
              </w:rPr>
            </w:pPr>
            <w:r w:rsidRPr="00EC0B05">
              <w:rPr>
                <w:w w:val="110"/>
                <w:sz w:val="21"/>
                <w:szCs w:val="21"/>
              </w:rPr>
              <w:t xml:space="preserve">The Minimum Pledge Amount equals the Base Pledge Amount multiplied </w:t>
            </w:r>
            <w:r w:rsidR="00F70228">
              <w:rPr>
                <w:w w:val="110"/>
                <w:sz w:val="21"/>
                <w:szCs w:val="21"/>
              </w:rPr>
              <w:t>by 168%</w:t>
            </w:r>
            <w:r w:rsidRPr="00EC0B05">
              <w:rPr>
                <w:w w:val="110"/>
                <w:sz w:val="21"/>
                <w:szCs w:val="21"/>
              </w:rPr>
              <w:t>.</w:t>
            </w:r>
          </w:p>
          <w:p w14:paraId="74C772B4" w14:textId="77777777" w:rsidR="000016AE" w:rsidRPr="00EC0B05" w:rsidRDefault="000016AE" w:rsidP="00A8756A">
            <w:pPr>
              <w:pStyle w:val="ListParagraph"/>
              <w:numPr>
                <w:ilvl w:val="0"/>
                <w:numId w:val="32"/>
              </w:numPr>
              <w:tabs>
                <w:tab w:val="left" w:pos="3510"/>
              </w:tabs>
              <w:ind w:left="702"/>
              <w:rPr>
                <w:w w:val="110"/>
                <w:sz w:val="21"/>
                <w:szCs w:val="21"/>
              </w:rPr>
            </w:pPr>
            <w:r w:rsidRPr="00EC0B05">
              <w:rPr>
                <w:w w:val="110"/>
                <w:sz w:val="21"/>
                <w:szCs w:val="21"/>
              </w:rPr>
              <w:t>A Pledged Asset Account funded with 100% Cash Equivalent Assets has an Initial Pledge Amount and Minimum Pledge Amount equal to 100% of the Base Pledge Amount.</w:t>
            </w:r>
          </w:p>
          <w:p w14:paraId="22884D91" w14:textId="77777777" w:rsidR="000016AE" w:rsidRPr="00EC0B05" w:rsidRDefault="000016AE" w:rsidP="00A8756A">
            <w:pPr>
              <w:pStyle w:val="ListParagraph"/>
              <w:numPr>
                <w:ilvl w:val="0"/>
                <w:numId w:val="32"/>
              </w:numPr>
              <w:tabs>
                <w:tab w:val="left" w:pos="3510"/>
              </w:tabs>
              <w:ind w:left="702"/>
              <w:rPr>
                <w:w w:val="110"/>
                <w:sz w:val="21"/>
                <w:szCs w:val="21"/>
              </w:rPr>
            </w:pPr>
            <w:r w:rsidRPr="00EC0B05">
              <w:rPr>
                <w:w w:val="110"/>
                <w:sz w:val="21"/>
                <w:szCs w:val="21"/>
              </w:rPr>
              <w:t>Throughout the term of the pledge agreement, the obligor will be required to maintain a Pledge Account value equal to or above the Initial Pledge Amount.  If the Pledged Account value ever falls to or below the Minimum Pledge Amount, the obligor will immediately be required to bring the Pledged Account value equal to or above the Initial Pledge Amount.</w:t>
            </w:r>
          </w:p>
          <w:p w14:paraId="621475FC" w14:textId="77777777" w:rsidR="000016AE" w:rsidRPr="00EC0B05" w:rsidRDefault="000016AE" w:rsidP="00471F7C">
            <w:pPr>
              <w:contextualSpacing/>
              <w:rPr>
                <w:w w:val="110"/>
                <w:sz w:val="21"/>
                <w:szCs w:val="21"/>
              </w:rPr>
            </w:pPr>
            <w:r w:rsidRPr="00EC0B05">
              <w:rPr>
                <w:w w:val="110"/>
                <w:sz w:val="21"/>
                <w:szCs w:val="21"/>
              </w:rPr>
              <w:t xml:space="preserve">Calculating required pledge amount:    </w:t>
            </w:r>
          </w:p>
          <w:p w14:paraId="45FF3B3C" w14:textId="77777777" w:rsidR="000016AE" w:rsidRPr="00EC0B05" w:rsidRDefault="000016AE">
            <w:pPr>
              <w:contextualSpacing/>
              <w:rPr>
                <w:w w:val="110"/>
                <w:sz w:val="21"/>
                <w:szCs w:val="21"/>
              </w:rPr>
            </w:pPr>
            <w:r w:rsidRPr="00EC0B05">
              <w:rPr>
                <w:w w:val="110"/>
                <w:sz w:val="21"/>
                <w:szCs w:val="21"/>
              </w:rPr>
              <w:t>Example:  Loan amount requested is 90% of the value (sales price or appraisal whichever is lower:  $1,000,000 value $900,000 loan)</w:t>
            </w:r>
          </w:p>
          <w:p w14:paraId="6B903BD8" w14:textId="77777777" w:rsidR="000016AE" w:rsidRPr="00EC0B05" w:rsidRDefault="000016AE">
            <w:pPr>
              <w:contextualSpacing/>
              <w:rPr>
                <w:w w:val="110"/>
                <w:sz w:val="21"/>
                <w:szCs w:val="21"/>
              </w:rPr>
            </w:pPr>
          </w:p>
          <w:p w14:paraId="1754BF83" w14:textId="77777777" w:rsidR="000016AE" w:rsidRPr="00EC0B05" w:rsidRDefault="000016AE">
            <w:pPr>
              <w:contextualSpacing/>
              <w:rPr>
                <w:sz w:val="21"/>
                <w:szCs w:val="21"/>
              </w:rPr>
            </w:pPr>
            <w:r w:rsidRPr="00EC0B05">
              <w:rPr>
                <w:w w:val="110"/>
                <w:sz w:val="21"/>
                <w:szCs w:val="21"/>
              </w:rPr>
              <w:t>Identify the available LTV per the matrix and calculate the loan amount at that LTV: (e.g. max LTV is 70% - $700,000 loan, subtract this amount from the loan amount and the difference is the base pledge amount required.  If the borrower is pledging cash the pledge required would be $200,000, and, if securities, the pledge required would be $400,000.  In this example, the actual LTV is 90% and the effective LTV is 70%).</w:t>
            </w:r>
          </w:p>
        </w:tc>
      </w:tr>
      <w:tr w:rsidR="00EC0B05" w:rsidRPr="00EC0B05" w14:paraId="26216F0E" w14:textId="77777777" w:rsidTr="0063752F">
        <w:tc>
          <w:tcPr>
            <w:tcW w:w="1336" w:type="pct"/>
          </w:tcPr>
          <w:p w14:paraId="289F9754" w14:textId="77777777" w:rsidR="000016AE" w:rsidRPr="00EC0B05" w:rsidRDefault="000016AE" w:rsidP="00471F7C">
            <w:pPr>
              <w:rPr>
                <w:b/>
                <w:w w:val="110"/>
                <w:sz w:val="21"/>
                <w:szCs w:val="21"/>
              </w:rPr>
            </w:pPr>
            <w:bookmarkStart w:id="79" w:name="POA"/>
            <w:r w:rsidRPr="00EC0B05">
              <w:rPr>
                <w:b/>
                <w:w w:val="110"/>
                <w:sz w:val="21"/>
                <w:szCs w:val="21"/>
              </w:rPr>
              <w:lastRenderedPageBreak/>
              <w:t>Power of Attorney</w:t>
            </w:r>
            <w:bookmarkEnd w:id="79"/>
          </w:p>
        </w:tc>
        <w:tc>
          <w:tcPr>
            <w:tcW w:w="3664" w:type="pct"/>
          </w:tcPr>
          <w:p w14:paraId="0D7D3D6C" w14:textId="77777777" w:rsidR="000016AE" w:rsidRPr="00EC0B05" w:rsidRDefault="000016AE" w:rsidP="00A8756A">
            <w:pPr>
              <w:pStyle w:val="ListParagraph"/>
              <w:numPr>
                <w:ilvl w:val="0"/>
                <w:numId w:val="15"/>
              </w:numPr>
              <w:rPr>
                <w:w w:val="110"/>
                <w:sz w:val="21"/>
                <w:szCs w:val="21"/>
              </w:rPr>
            </w:pPr>
            <w:r w:rsidRPr="00EC0B05">
              <w:rPr>
                <w:w w:val="110"/>
                <w:sz w:val="21"/>
                <w:szCs w:val="21"/>
              </w:rPr>
              <w:t>The POA can be used for closing documents only, and is not acceptable for application or credit verification documents.</w:t>
            </w:r>
          </w:p>
          <w:p w14:paraId="18AA0BCA" w14:textId="77777777" w:rsidR="000016AE" w:rsidRPr="00EC0B05" w:rsidRDefault="000016AE" w:rsidP="00A8756A">
            <w:pPr>
              <w:pStyle w:val="ListParagraph"/>
              <w:numPr>
                <w:ilvl w:val="0"/>
                <w:numId w:val="15"/>
              </w:numPr>
              <w:rPr>
                <w:w w:val="110"/>
                <w:sz w:val="21"/>
                <w:szCs w:val="21"/>
              </w:rPr>
            </w:pPr>
            <w:r w:rsidRPr="00EC0B05">
              <w:rPr>
                <w:w w:val="110"/>
                <w:sz w:val="21"/>
                <w:szCs w:val="21"/>
              </w:rPr>
              <w:t>Authorization allows for the attorney-in-fact to perform specific functions related to consumer loan financing or is specific to the subject property.</w:t>
            </w:r>
          </w:p>
          <w:p w14:paraId="4E92F6A9" w14:textId="38B3E797" w:rsidR="000016AE" w:rsidRPr="00EC0B05" w:rsidRDefault="000016AE" w:rsidP="00A8756A">
            <w:pPr>
              <w:pStyle w:val="ListParagraph"/>
              <w:numPr>
                <w:ilvl w:val="0"/>
                <w:numId w:val="15"/>
              </w:numPr>
              <w:rPr>
                <w:w w:val="110"/>
                <w:sz w:val="21"/>
                <w:szCs w:val="21"/>
              </w:rPr>
            </w:pPr>
            <w:r w:rsidRPr="00EC0B05">
              <w:rPr>
                <w:w w:val="110"/>
                <w:sz w:val="21"/>
                <w:szCs w:val="21"/>
              </w:rPr>
              <w:t>The attorney-in-fact may not have any direct or indirect financial interest in the transaction</w:t>
            </w:r>
            <w:r w:rsidR="00E5611A">
              <w:rPr>
                <w:w w:val="110"/>
                <w:sz w:val="21"/>
                <w:szCs w:val="21"/>
              </w:rPr>
              <w:t xml:space="preserve"> (NOTE: a co-borrower may be the attorney-in-fact, however).</w:t>
            </w:r>
          </w:p>
          <w:p w14:paraId="770D86A9" w14:textId="77777777" w:rsidR="000016AE" w:rsidRPr="00EC0B05" w:rsidRDefault="000016AE" w:rsidP="00A8756A">
            <w:pPr>
              <w:pStyle w:val="ListParagraph"/>
              <w:numPr>
                <w:ilvl w:val="0"/>
                <w:numId w:val="15"/>
              </w:numPr>
              <w:rPr>
                <w:w w:val="110"/>
                <w:sz w:val="21"/>
                <w:szCs w:val="21"/>
              </w:rPr>
            </w:pPr>
            <w:r w:rsidRPr="00EC0B05">
              <w:rPr>
                <w:w w:val="110"/>
                <w:sz w:val="21"/>
                <w:szCs w:val="21"/>
              </w:rPr>
              <w:t>The POA must be in full force and effect on the closing date, survives subsequent disability (durable), and has to be revoked in writing, or gives a specific expiration date that survives the closing date.</w:t>
            </w:r>
          </w:p>
          <w:p w14:paraId="5CF3F65B" w14:textId="77777777" w:rsidR="000016AE" w:rsidRPr="00EC0B05" w:rsidRDefault="000016AE" w:rsidP="00A8756A">
            <w:pPr>
              <w:pStyle w:val="ListParagraph"/>
              <w:numPr>
                <w:ilvl w:val="0"/>
                <w:numId w:val="15"/>
              </w:numPr>
              <w:rPr>
                <w:w w:val="110"/>
                <w:sz w:val="21"/>
                <w:szCs w:val="21"/>
              </w:rPr>
            </w:pPr>
            <w:r w:rsidRPr="00EC0B05">
              <w:rPr>
                <w:w w:val="110"/>
                <w:sz w:val="21"/>
                <w:szCs w:val="21"/>
              </w:rPr>
              <w:t>A statement of the grantor's (applicant’s) name exactly as it will appear on all closing documents.</w:t>
            </w:r>
          </w:p>
          <w:p w14:paraId="163EEFBB" w14:textId="77777777" w:rsidR="000016AE" w:rsidRPr="00EC0B05" w:rsidRDefault="000016AE" w:rsidP="00A8756A">
            <w:pPr>
              <w:pStyle w:val="ListParagraph"/>
              <w:numPr>
                <w:ilvl w:val="0"/>
                <w:numId w:val="15"/>
              </w:numPr>
              <w:rPr>
                <w:w w:val="110"/>
                <w:sz w:val="21"/>
                <w:szCs w:val="21"/>
              </w:rPr>
            </w:pPr>
            <w:r w:rsidRPr="00EC0B05">
              <w:rPr>
                <w:w w:val="110"/>
                <w:sz w:val="21"/>
                <w:szCs w:val="21"/>
              </w:rPr>
              <w:t>Must be dated no more than 180 days prior to the closing date.</w:t>
            </w:r>
          </w:p>
          <w:p w14:paraId="077F9747" w14:textId="77777777" w:rsidR="000016AE" w:rsidRPr="00EC0B05" w:rsidRDefault="000016AE" w:rsidP="00A8756A">
            <w:pPr>
              <w:pStyle w:val="ListParagraph"/>
              <w:numPr>
                <w:ilvl w:val="0"/>
                <w:numId w:val="15"/>
              </w:numPr>
              <w:rPr>
                <w:w w:val="110"/>
                <w:sz w:val="21"/>
                <w:szCs w:val="21"/>
              </w:rPr>
            </w:pPr>
            <w:r w:rsidRPr="00EC0B05">
              <w:rPr>
                <w:w w:val="110"/>
                <w:sz w:val="21"/>
                <w:szCs w:val="21"/>
              </w:rPr>
              <w:t>The POA must be approved by the title company insuring the loan.</w:t>
            </w:r>
          </w:p>
          <w:p w14:paraId="44DB3710" w14:textId="77777777" w:rsidR="000016AE" w:rsidRPr="00EC0B05" w:rsidRDefault="000016AE" w:rsidP="00A8756A">
            <w:pPr>
              <w:pStyle w:val="ListParagraph"/>
              <w:numPr>
                <w:ilvl w:val="0"/>
                <w:numId w:val="15"/>
              </w:numPr>
              <w:rPr>
                <w:w w:val="110"/>
                <w:sz w:val="21"/>
                <w:szCs w:val="21"/>
              </w:rPr>
            </w:pPr>
            <w:r w:rsidRPr="00EC0B05">
              <w:rPr>
                <w:w w:val="110"/>
                <w:sz w:val="21"/>
                <w:szCs w:val="21"/>
              </w:rPr>
              <w:lastRenderedPageBreak/>
              <w:t>POA may not be used to sign on behalf of a trustee for a loan using a trust</w:t>
            </w:r>
          </w:p>
          <w:p w14:paraId="28DC4A77" w14:textId="77777777" w:rsidR="000016AE" w:rsidRPr="00EC0B05" w:rsidRDefault="000016AE" w:rsidP="00A8756A">
            <w:pPr>
              <w:pStyle w:val="ListParagraph"/>
              <w:numPr>
                <w:ilvl w:val="0"/>
                <w:numId w:val="15"/>
              </w:numPr>
              <w:rPr>
                <w:w w:val="110"/>
                <w:sz w:val="21"/>
                <w:szCs w:val="21"/>
              </w:rPr>
            </w:pPr>
            <w:r w:rsidRPr="00EC0B05">
              <w:rPr>
                <w:w w:val="110"/>
                <w:sz w:val="21"/>
                <w:szCs w:val="21"/>
              </w:rPr>
              <w:t xml:space="preserve">POA is not eligible on Non Resident Alien loan.  </w:t>
            </w:r>
          </w:p>
        </w:tc>
      </w:tr>
      <w:tr w:rsidR="00EC0B05" w:rsidRPr="00EC0B05" w14:paraId="5EAAE4F8" w14:textId="77777777" w:rsidTr="0063752F">
        <w:tc>
          <w:tcPr>
            <w:tcW w:w="1336" w:type="pct"/>
          </w:tcPr>
          <w:p w14:paraId="6BAE2BEC" w14:textId="77777777" w:rsidR="00706884" w:rsidRPr="00EC0B05" w:rsidRDefault="00706884" w:rsidP="00471F7C">
            <w:pPr>
              <w:rPr>
                <w:b/>
                <w:w w:val="110"/>
                <w:sz w:val="21"/>
                <w:szCs w:val="21"/>
              </w:rPr>
            </w:pPr>
            <w:bookmarkStart w:id="80" w:name="prepayment_penalty"/>
            <w:r w:rsidRPr="00EC0B05">
              <w:rPr>
                <w:b/>
                <w:w w:val="110"/>
                <w:sz w:val="21"/>
                <w:szCs w:val="21"/>
              </w:rPr>
              <w:lastRenderedPageBreak/>
              <w:t>Prepay</w:t>
            </w:r>
            <w:r w:rsidR="00A32350" w:rsidRPr="00EC0B05">
              <w:rPr>
                <w:b/>
                <w:w w:val="110"/>
                <w:sz w:val="21"/>
                <w:szCs w:val="21"/>
              </w:rPr>
              <w:t>ment Penalty</w:t>
            </w:r>
            <w:bookmarkEnd w:id="80"/>
          </w:p>
        </w:tc>
        <w:tc>
          <w:tcPr>
            <w:tcW w:w="3664" w:type="pct"/>
          </w:tcPr>
          <w:p w14:paraId="13D7F3A6" w14:textId="77777777" w:rsidR="00706884" w:rsidRPr="00E96C8F" w:rsidRDefault="00A32350" w:rsidP="00E96C8F">
            <w:pPr>
              <w:rPr>
                <w:w w:val="110"/>
                <w:sz w:val="21"/>
                <w:szCs w:val="21"/>
              </w:rPr>
            </w:pPr>
            <w:r w:rsidRPr="00E96C8F">
              <w:rPr>
                <w:w w:val="110"/>
                <w:sz w:val="21"/>
                <w:szCs w:val="21"/>
              </w:rPr>
              <w:t>18 month hard prepayment penalty is charged on non-owner occupied portfolio loans (excludes NJ and OR)</w:t>
            </w:r>
          </w:p>
        </w:tc>
      </w:tr>
      <w:tr w:rsidR="00EC0B05" w:rsidRPr="00EC0B05" w14:paraId="1DD25D16" w14:textId="77777777" w:rsidTr="0063752F">
        <w:tc>
          <w:tcPr>
            <w:tcW w:w="1336" w:type="pct"/>
          </w:tcPr>
          <w:p w14:paraId="5D1EEABD" w14:textId="77777777" w:rsidR="000016AE" w:rsidRPr="00EC0B05" w:rsidRDefault="000016AE" w:rsidP="00471F7C">
            <w:pPr>
              <w:rPr>
                <w:b/>
                <w:sz w:val="21"/>
                <w:szCs w:val="21"/>
              </w:rPr>
            </w:pPr>
            <w:bookmarkStart w:id="81" w:name="private_rd"/>
            <w:r w:rsidRPr="00EC0B05">
              <w:rPr>
                <w:b/>
                <w:sz w:val="21"/>
                <w:szCs w:val="21"/>
              </w:rPr>
              <w:t>Private Road</w:t>
            </w:r>
            <w:bookmarkEnd w:id="81"/>
          </w:p>
        </w:tc>
        <w:tc>
          <w:tcPr>
            <w:tcW w:w="3664" w:type="pct"/>
          </w:tcPr>
          <w:p w14:paraId="06203D0A" w14:textId="77777777" w:rsidR="000016AE" w:rsidRPr="00EC0B05" w:rsidRDefault="000016AE">
            <w:pPr>
              <w:rPr>
                <w:b/>
                <w:sz w:val="21"/>
                <w:szCs w:val="21"/>
              </w:rPr>
            </w:pPr>
            <w:r w:rsidRPr="00EC0B05">
              <w:rPr>
                <w:w w:val="110"/>
                <w:sz w:val="21"/>
                <w:szCs w:val="21"/>
              </w:rPr>
              <w:t xml:space="preserve">A property located on a private road must have a private road maintenance agreement.  </w:t>
            </w:r>
          </w:p>
        </w:tc>
      </w:tr>
      <w:tr w:rsidR="00EC0B05" w:rsidRPr="00EC0B05" w14:paraId="2932FAC9" w14:textId="77777777" w:rsidTr="0063752F">
        <w:tc>
          <w:tcPr>
            <w:tcW w:w="1336" w:type="pct"/>
          </w:tcPr>
          <w:p w14:paraId="2A49CE2A" w14:textId="77777777" w:rsidR="000016AE" w:rsidRPr="00EC0B05" w:rsidRDefault="000016AE" w:rsidP="00471F7C">
            <w:pPr>
              <w:rPr>
                <w:b/>
                <w:sz w:val="21"/>
                <w:szCs w:val="21"/>
              </w:rPr>
            </w:pPr>
            <w:bookmarkStart w:id="82" w:name="proceeds_pending"/>
            <w:r w:rsidRPr="00EC0B05">
              <w:rPr>
                <w:b/>
                <w:sz w:val="21"/>
                <w:szCs w:val="21"/>
              </w:rPr>
              <w:t>Proceeds from Pending Sale of Real Estate</w:t>
            </w:r>
            <w:bookmarkEnd w:id="82"/>
          </w:p>
        </w:tc>
        <w:tc>
          <w:tcPr>
            <w:tcW w:w="3664" w:type="pct"/>
          </w:tcPr>
          <w:p w14:paraId="6C76EB6F" w14:textId="77777777" w:rsidR="000016AE" w:rsidRPr="00EC0B05" w:rsidRDefault="000016AE">
            <w:pPr>
              <w:widowControl w:val="0"/>
              <w:ind w:right="174"/>
              <w:contextualSpacing/>
              <w:rPr>
                <w:w w:val="105"/>
                <w:sz w:val="21"/>
                <w:szCs w:val="21"/>
              </w:rPr>
            </w:pPr>
            <w:r w:rsidRPr="00EC0B05">
              <w:rPr>
                <w:w w:val="105"/>
                <w:sz w:val="21"/>
                <w:szCs w:val="21"/>
              </w:rPr>
              <w:t>If the proceeds from the sale of a currently owned property are required for the down payment and closing costs on the new collateral, verify the source of funds by obtaining a copy of the final Closing Disclosure on the existing home before, or simultaneously with, the settlement on the new home.  The document must evidence sufficient net cash proceeds to consummate the purchase of the new home.</w:t>
            </w:r>
          </w:p>
        </w:tc>
      </w:tr>
      <w:tr w:rsidR="00EC0B05" w:rsidRPr="00EC0B05" w14:paraId="435567C0" w14:textId="77777777" w:rsidTr="0063752F">
        <w:tc>
          <w:tcPr>
            <w:tcW w:w="1336" w:type="pct"/>
          </w:tcPr>
          <w:p w14:paraId="23CBB56E" w14:textId="77777777" w:rsidR="000016AE" w:rsidRPr="00EC0B05" w:rsidRDefault="000016AE" w:rsidP="00471F7C">
            <w:pPr>
              <w:rPr>
                <w:b/>
                <w:sz w:val="21"/>
                <w:szCs w:val="21"/>
              </w:rPr>
            </w:pPr>
            <w:bookmarkStart w:id="83" w:name="Properties"/>
            <w:r w:rsidRPr="00EC0B05">
              <w:rPr>
                <w:b/>
                <w:sz w:val="21"/>
                <w:szCs w:val="21"/>
              </w:rPr>
              <w:t>Properties</w:t>
            </w:r>
            <w:bookmarkEnd w:id="83"/>
            <w:r w:rsidR="009C5F67" w:rsidRPr="00EC0B05">
              <w:rPr>
                <w:b/>
                <w:sz w:val="21"/>
                <w:szCs w:val="21"/>
              </w:rPr>
              <w:t xml:space="preserve"> Acceptable/</w:t>
            </w:r>
          </w:p>
          <w:p w14:paraId="58FC1094" w14:textId="77777777" w:rsidR="009C5F67" w:rsidRPr="00EC0B05" w:rsidRDefault="009C5F67" w:rsidP="00DF4668">
            <w:pPr>
              <w:rPr>
                <w:b/>
                <w:sz w:val="21"/>
                <w:szCs w:val="21"/>
              </w:rPr>
            </w:pPr>
            <w:r w:rsidRPr="00EC0B05">
              <w:rPr>
                <w:b/>
                <w:sz w:val="21"/>
                <w:szCs w:val="21"/>
              </w:rPr>
              <w:t>Unacceptable</w:t>
            </w:r>
          </w:p>
        </w:tc>
        <w:tc>
          <w:tcPr>
            <w:tcW w:w="3664" w:type="pct"/>
          </w:tcPr>
          <w:p w14:paraId="5914F2E1" w14:textId="77777777" w:rsidR="000016AE" w:rsidRPr="00EC0B05" w:rsidRDefault="000016AE" w:rsidP="00DF4668">
            <w:pPr>
              <w:rPr>
                <w:b/>
                <w:sz w:val="21"/>
                <w:szCs w:val="21"/>
              </w:rPr>
            </w:pPr>
            <w:r w:rsidRPr="00EC0B05">
              <w:rPr>
                <w:b/>
                <w:sz w:val="21"/>
                <w:szCs w:val="21"/>
              </w:rPr>
              <w:t xml:space="preserve">Acceptable Properties: </w:t>
            </w:r>
            <w:r w:rsidRPr="00EC0B05">
              <w:rPr>
                <w:b/>
                <w:sz w:val="21"/>
                <w:szCs w:val="21"/>
              </w:rPr>
              <w:tab/>
            </w:r>
          </w:p>
          <w:p w14:paraId="13B677E9" w14:textId="77777777" w:rsidR="000016AE" w:rsidRPr="00EC0B05" w:rsidRDefault="000016AE" w:rsidP="00DF4668">
            <w:pPr>
              <w:rPr>
                <w:w w:val="105"/>
                <w:sz w:val="21"/>
                <w:szCs w:val="21"/>
              </w:rPr>
            </w:pPr>
            <w:r w:rsidRPr="00EC0B05">
              <w:rPr>
                <w:w w:val="105"/>
                <w:sz w:val="21"/>
                <w:szCs w:val="21"/>
              </w:rPr>
              <w:t>Single Family and 2-4 unit properties will be accepted. The mortgaged premises must be a detached or semi-detached dwelling, row housing, or unit within a condominium (“Condo”) project, Co-op or planned unit development (“PUD”)</w:t>
            </w:r>
          </w:p>
          <w:p w14:paraId="05499370" w14:textId="77777777" w:rsidR="000016AE" w:rsidRPr="00EC0B05" w:rsidRDefault="000016AE" w:rsidP="00DF4668">
            <w:pPr>
              <w:rPr>
                <w:sz w:val="21"/>
                <w:szCs w:val="21"/>
              </w:rPr>
            </w:pPr>
            <w:r w:rsidRPr="00EC0B05">
              <w:rPr>
                <w:b/>
                <w:sz w:val="21"/>
                <w:szCs w:val="21"/>
              </w:rPr>
              <w:t>Unacceptable Properties:</w:t>
            </w:r>
            <w:r w:rsidRPr="00EC0B05">
              <w:rPr>
                <w:sz w:val="21"/>
                <w:szCs w:val="21"/>
              </w:rPr>
              <w:t xml:space="preserve"> </w:t>
            </w:r>
          </w:p>
          <w:p w14:paraId="72A9EB8D" w14:textId="6A71D03B" w:rsidR="000016AE" w:rsidRPr="00EC0B05" w:rsidRDefault="000016AE" w:rsidP="00A8756A">
            <w:pPr>
              <w:pStyle w:val="BodyText"/>
              <w:numPr>
                <w:ilvl w:val="0"/>
                <w:numId w:val="12"/>
              </w:numPr>
              <w:kinsoku w:val="0"/>
              <w:overflowPunct w:val="0"/>
              <w:rPr>
                <w:rFonts w:asciiTheme="minorHAnsi" w:eastAsiaTheme="minorHAnsi" w:hAnsiTheme="minorHAnsi" w:cstheme="minorBidi"/>
                <w:w w:val="105"/>
              </w:rPr>
            </w:pPr>
            <w:r w:rsidRPr="00EC0B05">
              <w:rPr>
                <w:rFonts w:asciiTheme="minorHAnsi" w:eastAsiaTheme="minorHAnsi" w:hAnsiTheme="minorHAnsi" w:cstheme="minorBidi"/>
                <w:w w:val="105"/>
              </w:rPr>
              <w:t>Mobile homes</w:t>
            </w:r>
            <w:r w:rsidR="001A01A6">
              <w:rPr>
                <w:rFonts w:asciiTheme="minorHAnsi" w:eastAsiaTheme="minorHAnsi" w:hAnsiTheme="minorHAnsi" w:cstheme="minorBidi"/>
                <w:w w:val="105"/>
              </w:rPr>
              <w:t>;</w:t>
            </w:r>
          </w:p>
          <w:p w14:paraId="7BBE8571" w14:textId="77D6ED46" w:rsidR="000016AE" w:rsidRPr="00EC0B05" w:rsidRDefault="00D35107" w:rsidP="00A8756A">
            <w:pPr>
              <w:pStyle w:val="BodyText"/>
              <w:numPr>
                <w:ilvl w:val="0"/>
                <w:numId w:val="12"/>
              </w:numPr>
              <w:kinsoku w:val="0"/>
              <w:overflowPunct w:val="0"/>
              <w:rPr>
                <w:rFonts w:asciiTheme="minorHAnsi" w:eastAsiaTheme="minorHAnsi" w:hAnsiTheme="minorHAnsi" w:cstheme="minorBidi"/>
                <w:w w:val="105"/>
              </w:rPr>
            </w:pPr>
            <w:r>
              <w:rPr>
                <w:rFonts w:asciiTheme="minorHAnsi" w:eastAsiaTheme="minorHAnsi" w:hAnsiTheme="minorHAnsi" w:cstheme="minorBidi"/>
                <w:w w:val="105"/>
              </w:rPr>
              <w:t>R</w:t>
            </w:r>
            <w:r w:rsidR="001A01A6">
              <w:rPr>
                <w:rFonts w:asciiTheme="minorHAnsi" w:eastAsiaTheme="minorHAnsi" w:hAnsiTheme="minorHAnsi" w:cstheme="minorBidi"/>
                <w:w w:val="105"/>
              </w:rPr>
              <w:t>aw land;</w:t>
            </w:r>
            <w:r w:rsidR="000016AE" w:rsidRPr="00EC0B05">
              <w:rPr>
                <w:rFonts w:asciiTheme="minorHAnsi" w:eastAsiaTheme="minorHAnsi" w:hAnsiTheme="minorHAnsi" w:cstheme="minorBidi"/>
                <w:w w:val="105"/>
              </w:rPr>
              <w:t xml:space="preserve"> </w:t>
            </w:r>
          </w:p>
          <w:p w14:paraId="57123EC1" w14:textId="04F4ED9F" w:rsidR="000016AE" w:rsidRPr="00EC0B05" w:rsidRDefault="00D35107" w:rsidP="00A8756A">
            <w:pPr>
              <w:pStyle w:val="BodyText"/>
              <w:numPr>
                <w:ilvl w:val="0"/>
                <w:numId w:val="12"/>
              </w:numPr>
              <w:kinsoku w:val="0"/>
              <w:overflowPunct w:val="0"/>
              <w:rPr>
                <w:rFonts w:asciiTheme="minorHAnsi" w:eastAsiaTheme="minorHAnsi" w:hAnsiTheme="minorHAnsi" w:cstheme="minorBidi"/>
                <w:w w:val="105"/>
              </w:rPr>
            </w:pPr>
            <w:r>
              <w:rPr>
                <w:rFonts w:asciiTheme="minorHAnsi" w:eastAsiaTheme="minorHAnsi" w:hAnsiTheme="minorHAnsi" w:cstheme="minorBidi"/>
                <w:w w:val="105"/>
              </w:rPr>
              <w:t>C</w:t>
            </w:r>
            <w:r w:rsidR="000016AE" w:rsidRPr="00EC0B05">
              <w:rPr>
                <w:rFonts w:asciiTheme="minorHAnsi" w:eastAsiaTheme="minorHAnsi" w:hAnsiTheme="minorHAnsi" w:cstheme="minorBidi"/>
                <w:w w:val="105"/>
              </w:rPr>
              <w:t>ommercial p</w:t>
            </w:r>
            <w:r w:rsidR="001A01A6">
              <w:rPr>
                <w:rFonts w:asciiTheme="minorHAnsi" w:eastAsiaTheme="minorHAnsi" w:hAnsiTheme="minorHAnsi" w:cstheme="minorBidi"/>
                <w:w w:val="105"/>
              </w:rPr>
              <w:t>roperties;</w:t>
            </w:r>
            <w:r w:rsidR="000016AE" w:rsidRPr="00EC0B05">
              <w:rPr>
                <w:rFonts w:asciiTheme="minorHAnsi" w:eastAsiaTheme="minorHAnsi" w:hAnsiTheme="minorHAnsi" w:cstheme="minorBidi"/>
                <w:w w:val="105"/>
              </w:rPr>
              <w:t xml:space="preserve"> </w:t>
            </w:r>
          </w:p>
          <w:p w14:paraId="71FE51F2" w14:textId="6F58628F" w:rsidR="000016AE" w:rsidRPr="00EC0B05" w:rsidRDefault="00D35107" w:rsidP="00A8756A">
            <w:pPr>
              <w:pStyle w:val="BodyText"/>
              <w:numPr>
                <w:ilvl w:val="0"/>
                <w:numId w:val="12"/>
              </w:numPr>
              <w:kinsoku w:val="0"/>
              <w:overflowPunct w:val="0"/>
              <w:rPr>
                <w:rFonts w:asciiTheme="minorHAnsi" w:eastAsiaTheme="minorHAnsi" w:hAnsiTheme="minorHAnsi" w:cstheme="minorBidi"/>
                <w:w w:val="105"/>
              </w:rPr>
            </w:pPr>
            <w:r>
              <w:rPr>
                <w:rFonts w:asciiTheme="minorHAnsi" w:eastAsiaTheme="minorHAnsi" w:hAnsiTheme="minorHAnsi" w:cstheme="minorBidi"/>
                <w:w w:val="105"/>
              </w:rPr>
              <w:t>M</w:t>
            </w:r>
            <w:r w:rsidR="000016AE" w:rsidRPr="00EC0B05">
              <w:rPr>
                <w:rFonts w:asciiTheme="minorHAnsi" w:eastAsiaTheme="minorHAnsi" w:hAnsiTheme="minorHAnsi" w:cstheme="minorBidi"/>
                <w:w w:val="105"/>
              </w:rPr>
              <w:t xml:space="preserve">ultifamily </w:t>
            </w:r>
            <w:r w:rsidR="001A01A6">
              <w:rPr>
                <w:rFonts w:asciiTheme="minorHAnsi" w:eastAsiaTheme="minorHAnsi" w:hAnsiTheme="minorHAnsi" w:cstheme="minorBidi"/>
                <w:w w:val="105"/>
              </w:rPr>
              <w:t>housing greater than four units;</w:t>
            </w:r>
            <w:r w:rsidR="000016AE" w:rsidRPr="00EC0B05">
              <w:rPr>
                <w:rFonts w:asciiTheme="minorHAnsi" w:eastAsiaTheme="minorHAnsi" w:hAnsiTheme="minorHAnsi" w:cstheme="minorBidi"/>
                <w:w w:val="105"/>
              </w:rPr>
              <w:t xml:space="preserve"> and </w:t>
            </w:r>
          </w:p>
          <w:p w14:paraId="449A96F7" w14:textId="77777777" w:rsidR="000016AE" w:rsidRPr="00EC0B05" w:rsidRDefault="00D35107" w:rsidP="00A8756A">
            <w:pPr>
              <w:pStyle w:val="BodyText"/>
              <w:numPr>
                <w:ilvl w:val="0"/>
                <w:numId w:val="12"/>
              </w:numPr>
              <w:kinsoku w:val="0"/>
              <w:overflowPunct w:val="0"/>
              <w:rPr>
                <w:rFonts w:asciiTheme="minorHAnsi" w:eastAsiaTheme="minorHAnsi" w:hAnsiTheme="minorHAnsi" w:cstheme="minorBidi"/>
                <w:w w:val="105"/>
              </w:rPr>
            </w:pPr>
            <w:r>
              <w:rPr>
                <w:rFonts w:asciiTheme="minorHAnsi" w:eastAsiaTheme="minorHAnsi" w:hAnsiTheme="minorHAnsi" w:cstheme="minorBidi"/>
                <w:w w:val="105"/>
              </w:rPr>
              <w:t>R</w:t>
            </w:r>
            <w:r w:rsidR="000016AE" w:rsidRPr="00EC0B05">
              <w:rPr>
                <w:rFonts w:asciiTheme="minorHAnsi" w:eastAsiaTheme="minorHAnsi" w:hAnsiTheme="minorHAnsi" w:cstheme="minorBidi"/>
                <w:w w:val="105"/>
              </w:rPr>
              <w:t>ental properties rented for less than 30 days</w:t>
            </w:r>
          </w:p>
          <w:p w14:paraId="799E6ADA" w14:textId="77777777" w:rsidR="000016AE" w:rsidRPr="00EC0B05" w:rsidRDefault="000016AE" w:rsidP="00DF4668">
            <w:pPr>
              <w:pStyle w:val="BodyText"/>
              <w:kinsoku w:val="0"/>
              <w:overflowPunct w:val="0"/>
              <w:spacing w:before="1"/>
              <w:ind w:right="231"/>
              <w:rPr>
                <w:rFonts w:asciiTheme="minorHAnsi" w:eastAsiaTheme="minorHAnsi" w:hAnsiTheme="minorHAnsi" w:cstheme="minorBidi"/>
                <w:w w:val="105"/>
              </w:rPr>
            </w:pPr>
          </w:p>
          <w:p w14:paraId="4D762754" w14:textId="77777777" w:rsidR="000016AE" w:rsidRPr="00EC0B05" w:rsidRDefault="000016AE" w:rsidP="00471F7C">
            <w:pPr>
              <w:pStyle w:val="BodyText"/>
              <w:kinsoku w:val="0"/>
              <w:overflowPunct w:val="0"/>
              <w:spacing w:before="1"/>
              <w:ind w:right="231"/>
              <w:rPr>
                <w:rFonts w:asciiTheme="minorHAnsi" w:eastAsiaTheme="minorHAnsi" w:hAnsiTheme="minorHAnsi" w:cstheme="minorBidi"/>
                <w:w w:val="105"/>
              </w:rPr>
            </w:pPr>
            <w:r w:rsidRPr="00EC0B05">
              <w:rPr>
                <w:rFonts w:asciiTheme="minorHAnsi" w:eastAsiaTheme="minorHAnsi" w:hAnsiTheme="minorHAnsi" w:cstheme="minorBidi"/>
                <w:w w:val="105"/>
              </w:rPr>
              <w:t>Unique properties listed below will be considered on a case by case basis. The appraisal department is consulted prior to the origination of these property types.</w:t>
            </w:r>
          </w:p>
          <w:p w14:paraId="48CF9E5A" w14:textId="5D8DB327" w:rsidR="000016AE" w:rsidRPr="00EC0B05" w:rsidRDefault="00D35107" w:rsidP="00A8756A">
            <w:pPr>
              <w:pStyle w:val="BodyText"/>
              <w:numPr>
                <w:ilvl w:val="0"/>
                <w:numId w:val="13"/>
              </w:numPr>
              <w:kinsoku w:val="0"/>
              <w:overflowPunct w:val="0"/>
              <w:spacing w:before="1"/>
              <w:ind w:right="231"/>
              <w:rPr>
                <w:rFonts w:asciiTheme="minorHAnsi" w:eastAsiaTheme="minorHAnsi" w:hAnsiTheme="minorHAnsi" w:cstheme="minorBidi"/>
                <w:w w:val="105"/>
              </w:rPr>
            </w:pPr>
            <w:r>
              <w:rPr>
                <w:rFonts w:asciiTheme="minorHAnsi" w:eastAsiaTheme="minorHAnsi" w:hAnsiTheme="minorHAnsi" w:cstheme="minorBidi"/>
                <w:w w:val="105"/>
              </w:rPr>
              <w:t>G</w:t>
            </w:r>
            <w:r w:rsidR="001A01A6">
              <w:rPr>
                <w:rFonts w:asciiTheme="minorHAnsi" w:eastAsiaTheme="minorHAnsi" w:hAnsiTheme="minorHAnsi" w:cstheme="minorBidi"/>
                <w:w w:val="105"/>
              </w:rPr>
              <w:t>eodesic domes;</w:t>
            </w:r>
            <w:r w:rsidR="000016AE" w:rsidRPr="00EC0B05">
              <w:rPr>
                <w:rFonts w:asciiTheme="minorHAnsi" w:eastAsiaTheme="minorHAnsi" w:hAnsiTheme="minorHAnsi" w:cstheme="minorBidi"/>
                <w:w w:val="105"/>
              </w:rPr>
              <w:t xml:space="preserve"> </w:t>
            </w:r>
          </w:p>
          <w:p w14:paraId="5FFABE8E" w14:textId="5780DE51" w:rsidR="000016AE" w:rsidRPr="00EC0B05" w:rsidRDefault="00D35107" w:rsidP="00A8756A">
            <w:pPr>
              <w:pStyle w:val="BodyText"/>
              <w:numPr>
                <w:ilvl w:val="0"/>
                <w:numId w:val="13"/>
              </w:numPr>
              <w:kinsoku w:val="0"/>
              <w:overflowPunct w:val="0"/>
              <w:spacing w:before="1"/>
              <w:ind w:right="231"/>
              <w:rPr>
                <w:rFonts w:asciiTheme="minorHAnsi" w:eastAsiaTheme="minorHAnsi" w:hAnsiTheme="minorHAnsi" w:cstheme="minorBidi"/>
                <w:w w:val="105"/>
              </w:rPr>
            </w:pPr>
            <w:r>
              <w:rPr>
                <w:rFonts w:asciiTheme="minorHAnsi" w:eastAsiaTheme="minorHAnsi" w:hAnsiTheme="minorHAnsi" w:cstheme="minorBidi"/>
                <w:w w:val="105"/>
              </w:rPr>
              <w:t>B</w:t>
            </w:r>
            <w:r w:rsidR="001A01A6">
              <w:rPr>
                <w:rFonts w:asciiTheme="minorHAnsi" w:eastAsiaTheme="minorHAnsi" w:hAnsiTheme="minorHAnsi" w:cstheme="minorBidi"/>
                <w:w w:val="105"/>
              </w:rPr>
              <w:t>erm homes;</w:t>
            </w:r>
            <w:r w:rsidR="000016AE" w:rsidRPr="00EC0B05">
              <w:rPr>
                <w:rFonts w:asciiTheme="minorHAnsi" w:eastAsiaTheme="minorHAnsi" w:hAnsiTheme="minorHAnsi" w:cstheme="minorBidi"/>
                <w:w w:val="105"/>
              </w:rPr>
              <w:t xml:space="preserve"> </w:t>
            </w:r>
          </w:p>
          <w:p w14:paraId="316D41F3" w14:textId="258D79B1" w:rsidR="000016AE" w:rsidRPr="00EC0B05" w:rsidRDefault="00D35107" w:rsidP="00A8756A">
            <w:pPr>
              <w:pStyle w:val="BodyText"/>
              <w:numPr>
                <w:ilvl w:val="0"/>
                <w:numId w:val="13"/>
              </w:numPr>
              <w:kinsoku w:val="0"/>
              <w:overflowPunct w:val="0"/>
              <w:spacing w:before="1"/>
              <w:ind w:right="231"/>
              <w:rPr>
                <w:rFonts w:asciiTheme="minorHAnsi" w:eastAsiaTheme="minorHAnsi" w:hAnsiTheme="minorHAnsi" w:cstheme="minorBidi"/>
                <w:w w:val="105"/>
              </w:rPr>
            </w:pPr>
            <w:r>
              <w:rPr>
                <w:rFonts w:asciiTheme="minorHAnsi" w:eastAsiaTheme="minorHAnsi" w:hAnsiTheme="minorHAnsi" w:cstheme="minorBidi"/>
                <w:w w:val="105"/>
              </w:rPr>
              <w:t>E</w:t>
            </w:r>
            <w:r w:rsidR="001A01A6">
              <w:rPr>
                <w:rFonts w:asciiTheme="minorHAnsi" w:eastAsiaTheme="minorHAnsi" w:hAnsiTheme="minorHAnsi" w:cstheme="minorBidi"/>
                <w:w w:val="105"/>
              </w:rPr>
              <w:t>arth homes; and</w:t>
            </w:r>
            <w:r w:rsidR="000016AE" w:rsidRPr="00EC0B05">
              <w:rPr>
                <w:rFonts w:asciiTheme="minorHAnsi" w:eastAsiaTheme="minorHAnsi" w:hAnsiTheme="minorHAnsi" w:cstheme="minorBidi"/>
                <w:w w:val="105"/>
              </w:rPr>
              <w:t xml:space="preserve"> </w:t>
            </w:r>
          </w:p>
          <w:p w14:paraId="4787E47D" w14:textId="77777777" w:rsidR="000016AE" w:rsidRPr="00EC0B05" w:rsidRDefault="00D35107" w:rsidP="00A8756A">
            <w:pPr>
              <w:pStyle w:val="BodyText"/>
              <w:numPr>
                <w:ilvl w:val="0"/>
                <w:numId w:val="13"/>
              </w:numPr>
              <w:kinsoku w:val="0"/>
              <w:overflowPunct w:val="0"/>
              <w:spacing w:before="1"/>
              <w:ind w:right="231"/>
              <w:rPr>
                <w:rFonts w:asciiTheme="minorHAnsi" w:hAnsiTheme="minorHAnsi"/>
              </w:rPr>
            </w:pPr>
            <w:r>
              <w:rPr>
                <w:rFonts w:asciiTheme="minorHAnsi" w:eastAsiaTheme="minorHAnsi" w:hAnsiTheme="minorHAnsi" w:cstheme="minorBidi"/>
                <w:w w:val="105"/>
              </w:rPr>
              <w:t>O</w:t>
            </w:r>
            <w:r w:rsidR="000016AE" w:rsidRPr="00EC0B05">
              <w:rPr>
                <w:rFonts w:asciiTheme="minorHAnsi" w:eastAsiaTheme="minorHAnsi" w:hAnsiTheme="minorHAnsi" w:cstheme="minorBidi"/>
                <w:w w:val="105"/>
              </w:rPr>
              <w:t xml:space="preserve">ff grid homes </w:t>
            </w:r>
          </w:p>
        </w:tc>
      </w:tr>
      <w:tr w:rsidR="00EC0B05" w:rsidRPr="00EC0B05" w14:paraId="0E3C2B21" w14:textId="77777777" w:rsidTr="0063752F">
        <w:tc>
          <w:tcPr>
            <w:tcW w:w="1336" w:type="pct"/>
          </w:tcPr>
          <w:p w14:paraId="3E7A1082" w14:textId="77777777" w:rsidR="000016AE" w:rsidRPr="00EC0B05" w:rsidRDefault="000016AE" w:rsidP="00471F7C">
            <w:pPr>
              <w:rPr>
                <w:b/>
                <w:sz w:val="21"/>
                <w:szCs w:val="21"/>
              </w:rPr>
            </w:pPr>
            <w:bookmarkStart w:id="84" w:name="Property_flips"/>
            <w:r w:rsidRPr="00EC0B05">
              <w:rPr>
                <w:b/>
                <w:sz w:val="21"/>
                <w:szCs w:val="21"/>
              </w:rPr>
              <w:t>Property Flips</w:t>
            </w:r>
            <w:bookmarkEnd w:id="84"/>
          </w:p>
        </w:tc>
        <w:tc>
          <w:tcPr>
            <w:tcW w:w="3664" w:type="pct"/>
          </w:tcPr>
          <w:p w14:paraId="6BD82A4F" w14:textId="4EB86832" w:rsidR="000016AE" w:rsidRPr="00EC0B05" w:rsidRDefault="000016AE">
            <w:pPr>
              <w:rPr>
                <w:w w:val="110"/>
                <w:sz w:val="21"/>
                <w:szCs w:val="21"/>
              </w:rPr>
            </w:pPr>
            <w:r w:rsidRPr="00EC0B05">
              <w:rPr>
                <w:w w:val="110"/>
                <w:sz w:val="21"/>
                <w:szCs w:val="21"/>
              </w:rPr>
              <w:t>Pr</w:t>
            </w:r>
            <w:r w:rsidR="00F55BC0">
              <w:rPr>
                <w:w w:val="110"/>
                <w:sz w:val="21"/>
                <w:szCs w:val="21"/>
              </w:rPr>
              <w:t xml:space="preserve">operties owned by a seller for </w:t>
            </w:r>
            <w:r w:rsidRPr="00EC0B05">
              <w:rPr>
                <w:w w:val="110"/>
                <w:sz w:val="21"/>
                <w:szCs w:val="21"/>
              </w:rPr>
              <w:t>less than 6  months require an additional appraisal paid by the Bank if the following exists:</w:t>
            </w:r>
          </w:p>
          <w:p w14:paraId="5EDC05CB" w14:textId="77777777" w:rsidR="000016AE" w:rsidRPr="00EC0B05" w:rsidRDefault="00D35107" w:rsidP="00A8756A">
            <w:pPr>
              <w:pStyle w:val="ListParagraph"/>
              <w:widowControl w:val="0"/>
              <w:numPr>
                <w:ilvl w:val="0"/>
                <w:numId w:val="10"/>
              </w:numPr>
              <w:tabs>
                <w:tab w:val="left" w:pos="3736"/>
              </w:tabs>
              <w:kinsoku w:val="0"/>
              <w:overflowPunct w:val="0"/>
              <w:autoSpaceDE w:val="0"/>
              <w:autoSpaceDN w:val="0"/>
              <w:adjustRightInd w:val="0"/>
              <w:ind w:right="841"/>
              <w:rPr>
                <w:w w:val="110"/>
                <w:sz w:val="21"/>
                <w:szCs w:val="21"/>
              </w:rPr>
            </w:pPr>
            <w:r>
              <w:rPr>
                <w:w w:val="110"/>
                <w:sz w:val="21"/>
                <w:szCs w:val="21"/>
              </w:rPr>
              <w:t>M</w:t>
            </w:r>
            <w:r w:rsidR="000016AE" w:rsidRPr="00EC0B05">
              <w:rPr>
                <w:w w:val="110"/>
                <w:sz w:val="21"/>
                <w:szCs w:val="21"/>
              </w:rPr>
              <w:t>ore than a 10 percent price increase if the seller acquired the property in the past 90 days, or</w:t>
            </w:r>
          </w:p>
          <w:p w14:paraId="39D72892" w14:textId="77777777" w:rsidR="000016AE" w:rsidRPr="00EC0B05" w:rsidRDefault="00D35107" w:rsidP="00A8756A">
            <w:pPr>
              <w:pStyle w:val="ListParagraph"/>
              <w:widowControl w:val="0"/>
              <w:numPr>
                <w:ilvl w:val="0"/>
                <w:numId w:val="10"/>
              </w:numPr>
              <w:tabs>
                <w:tab w:val="left" w:pos="3736"/>
              </w:tabs>
              <w:kinsoku w:val="0"/>
              <w:overflowPunct w:val="0"/>
              <w:autoSpaceDE w:val="0"/>
              <w:autoSpaceDN w:val="0"/>
              <w:adjustRightInd w:val="0"/>
              <w:spacing w:before="6"/>
              <w:ind w:right="841"/>
              <w:rPr>
                <w:b/>
                <w:sz w:val="21"/>
                <w:szCs w:val="21"/>
              </w:rPr>
            </w:pPr>
            <w:r>
              <w:rPr>
                <w:w w:val="110"/>
                <w:sz w:val="21"/>
                <w:szCs w:val="21"/>
              </w:rPr>
              <w:t>M</w:t>
            </w:r>
            <w:r w:rsidR="000016AE" w:rsidRPr="00EC0B05">
              <w:rPr>
                <w:w w:val="110"/>
                <w:sz w:val="21"/>
                <w:szCs w:val="21"/>
              </w:rPr>
              <w:t>ore than a 20 percent price increase if the seller acquired the property in the past 91 to 180 days</w:t>
            </w:r>
          </w:p>
        </w:tc>
      </w:tr>
      <w:tr w:rsidR="00EC0B05" w:rsidRPr="00EC0B05" w14:paraId="2DE4BF6B" w14:textId="77777777" w:rsidTr="0063752F">
        <w:tc>
          <w:tcPr>
            <w:tcW w:w="1336" w:type="pct"/>
          </w:tcPr>
          <w:p w14:paraId="354F4C68" w14:textId="1E5F7BD5" w:rsidR="00E45CCF" w:rsidRPr="00DF4668" w:rsidRDefault="003F156E" w:rsidP="00471F7C">
            <w:pPr>
              <w:pStyle w:val="NoSpacing"/>
              <w:rPr>
                <w:b/>
                <w:sz w:val="21"/>
                <w:szCs w:val="21"/>
              </w:rPr>
            </w:pPr>
            <w:bookmarkStart w:id="85" w:name="Property_Taxes"/>
            <w:r>
              <w:rPr>
                <w:b/>
                <w:sz w:val="21"/>
                <w:szCs w:val="21"/>
              </w:rPr>
              <w:t>Property T</w:t>
            </w:r>
            <w:r w:rsidR="00E45CCF" w:rsidRPr="00DF4668">
              <w:rPr>
                <w:b/>
                <w:sz w:val="21"/>
                <w:szCs w:val="21"/>
              </w:rPr>
              <w:t>axes</w:t>
            </w:r>
            <w:bookmarkEnd w:id="85"/>
          </w:p>
        </w:tc>
        <w:tc>
          <w:tcPr>
            <w:tcW w:w="3664" w:type="pct"/>
          </w:tcPr>
          <w:p w14:paraId="3E330D32" w14:textId="77777777" w:rsidR="00E45CCF" w:rsidRPr="00EC0B05" w:rsidRDefault="00E45CCF" w:rsidP="00A8756A">
            <w:pPr>
              <w:pStyle w:val="ListParagraph"/>
              <w:numPr>
                <w:ilvl w:val="0"/>
                <w:numId w:val="43"/>
              </w:numPr>
              <w:rPr>
                <w:w w:val="110"/>
                <w:sz w:val="21"/>
                <w:szCs w:val="21"/>
              </w:rPr>
            </w:pPr>
            <w:r w:rsidRPr="00EC0B05">
              <w:rPr>
                <w:w w:val="110"/>
                <w:sz w:val="21"/>
                <w:szCs w:val="21"/>
              </w:rPr>
              <w:t xml:space="preserve">Property Taxes due within 60 days of the fund date must be paid current. </w:t>
            </w:r>
          </w:p>
          <w:p w14:paraId="478E01B8" w14:textId="0AF4A120" w:rsidR="00E45CCF" w:rsidRPr="00EC0B05" w:rsidRDefault="00E45CCF" w:rsidP="00A8756A">
            <w:pPr>
              <w:pStyle w:val="ListParagraph"/>
              <w:numPr>
                <w:ilvl w:val="0"/>
                <w:numId w:val="43"/>
              </w:numPr>
              <w:rPr>
                <w:w w:val="110"/>
                <w:sz w:val="21"/>
                <w:szCs w:val="21"/>
              </w:rPr>
            </w:pPr>
          </w:p>
        </w:tc>
      </w:tr>
      <w:tr w:rsidR="00B34CC2" w:rsidRPr="00EC0B05" w14:paraId="3D0C8847" w14:textId="77777777" w:rsidTr="0063752F">
        <w:tc>
          <w:tcPr>
            <w:tcW w:w="1336" w:type="pct"/>
          </w:tcPr>
          <w:p w14:paraId="023DF3E4" w14:textId="24D4D90C" w:rsidR="00B34CC2" w:rsidRPr="00DF4668" w:rsidRDefault="00B34CC2" w:rsidP="00471F7C">
            <w:pPr>
              <w:pStyle w:val="NoSpacing"/>
              <w:rPr>
                <w:b/>
                <w:sz w:val="21"/>
                <w:szCs w:val="21"/>
              </w:rPr>
            </w:pPr>
            <w:bookmarkStart w:id="86" w:name="qualifying_rate"/>
            <w:r w:rsidRPr="00DF4668">
              <w:rPr>
                <w:b/>
                <w:sz w:val="21"/>
                <w:szCs w:val="21"/>
              </w:rPr>
              <w:t>Qualifying Rate</w:t>
            </w:r>
            <w:bookmarkEnd w:id="86"/>
          </w:p>
        </w:tc>
        <w:tc>
          <w:tcPr>
            <w:tcW w:w="3664" w:type="pct"/>
          </w:tcPr>
          <w:p w14:paraId="1DC22B86" w14:textId="13EE5BF6" w:rsidR="00B34CC2" w:rsidRPr="00B34CC2" w:rsidRDefault="007A2A6A" w:rsidP="00DF4668">
            <w:pPr>
              <w:rPr>
                <w:w w:val="110"/>
                <w:sz w:val="21"/>
                <w:szCs w:val="21"/>
              </w:rPr>
            </w:pPr>
            <w:r>
              <w:rPr>
                <w:w w:val="110"/>
                <w:sz w:val="21"/>
                <w:szCs w:val="21"/>
              </w:rPr>
              <w:t xml:space="preserve">Borrowers are qualified using payments based on the </w:t>
            </w:r>
            <w:r w:rsidR="000433B7">
              <w:rPr>
                <w:w w:val="110"/>
                <w:sz w:val="21"/>
                <w:szCs w:val="21"/>
              </w:rPr>
              <w:t>greater of the fully indexed or</w:t>
            </w:r>
            <w:r>
              <w:rPr>
                <w:w w:val="110"/>
                <w:sz w:val="21"/>
                <w:szCs w:val="21"/>
              </w:rPr>
              <w:t xml:space="preserve"> start rate.</w:t>
            </w:r>
          </w:p>
        </w:tc>
      </w:tr>
      <w:tr w:rsidR="00976324" w:rsidRPr="00EC0B05" w14:paraId="5427EF0C" w14:textId="77777777" w:rsidTr="0063752F">
        <w:tc>
          <w:tcPr>
            <w:tcW w:w="1336" w:type="pct"/>
          </w:tcPr>
          <w:p w14:paraId="6053313D" w14:textId="1B0A7B99" w:rsidR="00976324" w:rsidRPr="00EC0B05" w:rsidRDefault="00976324" w:rsidP="00471F7C">
            <w:pPr>
              <w:rPr>
                <w:b/>
                <w:w w:val="110"/>
                <w:sz w:val="21"/>
                <w:szCs w:val="21"/>
              </w:rPr>
            </w:pPr>
            <w:bookmarkStart w:id="87" w:name="recent_construction"/>
            <w:r>
              <w:rPr>
                <w:b/>
                <w:w w:val="110"/>
                <w:sz w:val="21"/>
                <w:szCs w:val="21"/>
              </w:rPr>
              <w:t>Recent Construction</w:t>
            </w:r>
            <w:bookmarkEnd w:id="87"/>
          </w:p>
        </w:tc>
        <w:tc>
          <w:tcPr>
            <w:tcW w:w="3664" w:type="pct"/>
          </w:tcPr>
          <w:p w14:paraId="46A29204" w14:textId="77777777" w:rsidR="00976324" w:rsidRDefault="00976324" w:rsidP="00DF4668">
            <w:pPr>
              <w:rPr>
                <w:w w:val="110"/>
                <w:sz w:val="21"/>
                <w:szCs w:val="21"/>
              </w:rPr>
            </w:pPr>
            <w:r>
              <w:rPr>
                <w:w w:val="110"/>
                <w:sz w:val="21"/>
                <w:szCs w:val="21"/>
              </w:rPr>
              <w:t xml:space="preserve">If there is an indication that construction on the property was recently completed, the title company should be notified so that confirmation that mechanic’s liens will be insured is provided. </w:t>
            </w:r>
          </w:p>
          <w:p w14:paraId="556D6F95" w14:textId="77777777" w:rsidR="00976324" w:rsidRDefault="00976324" w:rsidP="00DF4668">
            <w:pPr>
              <w:rPr>
                <w:w w:val="110"/>
                <w:sz w:val="21"/>
                <w:szCs w:val="21"/>
              </w:rPr>
            </w:pPr>
          </w:p>
          <w:p w14:paraId="7294DE7A" w14:textId="46DB338F" w:rsidR="00976324" w:rsidRPr="00EC0B05" w:rsidRDefault="00976324" w:rsidP="00DF4668">
            <w:pPr>
              <w:rPr>
                <w:w w:val="110"/>
                <w:sz w:val="21"/>
                <w:szCs w:val="21"/>
              </w:rPr>
            </w:pPr>
            <w:r>
              <w:rPr>
                <w:w w:val="110"/>
                <w:sz w:val="21"/>
                <w:szCs w:val="21"/>
              </w:rPr>
              <w:t>A certificate of occupancy is required if the appraisal is subject to completion of major construction or remodel. In some cases, a temporary certificate of occupancy may be allowed, subject to management approval.</w:t>
            </w:r>
          </w:p>
        </w:tc>
      </w:tr>
      <w:tr w:rsidR="00EC0B05" w:rsidRPr="00EC0B05" w14:paraId="22B94A25" w14:textId="77777777" w:rsidTr="0063752F">
        <w:tc>
          <w:tcPr>
            <w:tcW w:w="1336" w:type="pct"/>
          </w:tcPr>
          <w:p w14:paraId="3B9041F7" w14:textId="65C86F94" w:rsidR="000016AE" w:rsidRPr="00EC0B05" w:rsidRDefault="000016AE" w:rsidP="00471F7C">
            <w:pPr>
              <w:rPr>
                <w:b/>
                <w:w w:val="110"/>
                <w:sz w:val="21"/>
                <w:szCs w:val="21"/>
              </w:rPr>
            </w:pPr>
            <w:bookmarkStart w:id="88" w:name="Refi_rate"/>
            <w:r w:rsidRPr="00EC0B05">
              <w:rPr>
                <w:b/>
                <w:w w:val="110"/>
                <w:sz w:val="21"/>
                <w:szCs w:val="21"/>
              </w:rPr>
              <w:t xml:space="preserve">Refinance </w:t>
            </w:r>
          </w:p>
          <w:p w14:paraId="283F6F42" w14:textId="77777777" w:rsidR="000016AE" w:rsidRPr="00EC0B05" w:rsidRDefault="000016AE" w:rsidP="00DF4668">
            <w:pPr>
              <w:rPr>
                <w:w w:val="110"/>
                <w:sz w:val="21"/>
                <w:szCs w:val="21"/>
              </w:rPr>
            </w:pPr>
            <w:r w:rsidRPr="00EC0B05">
              <w:rPr>
                <w:b/>
                <w:w w:val="110"/>
                <w:sz w:val="21"/>
                <w:szCs w:val="21"/>
              </w:rPr>
              <w:t>Rate and Term</w:t>
            </w:r>
            <w:bookmarkEnd w:id="88"/>
          </w:p>
        </w:tc>
        <w:tc>
          <w:tcPr>
            <w:tcW w:w="3664" w:type="pct"/>
          </w:tcPr>
          <w:p w14:paraId="249BF83E" w14:textId="77777777" w:rsidR="000016AE" w:rsidRPr="00EC0B05" w:rsidRDefault="000016AE" w:rsidP="00DF4668">
            <w:pPr>
              <w:rPr>
                <w:w w:val="110"/>
                <w:sz w:val="21"/>
                <w:szCs w:val="21"/>
              </w:rPr>
            </w:pPr>
            <w:r w:rsidRPr="00EC0B05">
              <w:rPr>
                <w:w w:val="110"/>
                <w:sz w:val="21"/>
                <w:szCs w:val="21"/>
              </w:rPr>
              <w:t>Rate and Term refinance loans may include the following amounts:</w:t>
            </w:r>
          </w:p>
          <w:p w14:paraId="0E8F1E05" w14:textId="77777777" w:rsidR="000016AE" w:rsidRPr="00EC0B05" w:rsidRDefault="000016AE" w:rsidP="00A8756A">
            <w:pPr>
              <w:pStyle w:val="ListParagraph"/>
              <w:numPr>
                <w:ilvl w:val="0"/>
                <w:numId w:val="14"/>
              </w:numPr>
              <w:rPr>
                <w:w w:val="110"/>
                <w:sz w:val="21"/>
                <w:szCs w:val="21"/>
              </w:rPr>
            </w:pPr>
            <w:r w:rsidRPr="00EC0B05">
              <w:rPr>
                <w:w w:val="110"/>
                <w:sz w:val="21"/>
                <w:szCs w:val="21"/>
              </w:rPr>
              <w:t>Unpaid principal balance of the existing first lien.</w:t>
            </w:r>
          </w:p>
          <w:p w14:paraId="237F61D6" w14:textId="77777777" w:rsidR="000016AE" w:rsidRPr="00EC0B05" w:rsidRDefault="000016AE" w:rsidP="00A8756A">
            <w:pPr>
              <w:pStyle w:val="ListParagraph"/>
              <w:numPr>
                <w:ilvl w:val="0"/>
                <w:numId w:val="14"/>
              </w:numPr>
              <w:rPr>
                <w:w w:val="110"/>
                <w:sz w:val="21"/>
                <w:szCs w:val="21"/>
              </w:rPr>
            </w:pPr>
            <w:r w:rsidRPr="00EC0B05">
              <w:rPr>
                <w:w w:val="110"/>
                <w:sz w:val="21"/>
                <w:szCs w:val="21"/>
              </w:rPr>
              <w:t xml:space="preserve">Non-recurring closing costs, points, and pre -paid items. </w:t>
            </w:r>
          </w:p>
          <w:p w14:paraId="68D9152C" w14:textId="51BC3FBD" w:rsidR="000016AE" w:rsidRPr="00EC0B05" w:rsidRDefault="000016AE" w:rsidP="00A8756A">
            <w:pPr>
              <w:pStyle w:val="ListParagraph"/>
              <w:numPr>
                <w:ilvl w:val="0"/>
                <w:numId w:val="14"/>
              </w:numPr>
              <w:rPr>
                <w:w w:val="110"/>
                <w:sz w:val="21"/>
                <w:szCs w:val="21"/>
              </w:rPr>
            </w:pPr>
            <w:r w:rsidRPr="00EC0B05">
              <w:rPr>
                <w:w w:val="110"/>
                <w:sz w:val="21"/>
                <w:szCs w:val="21"/>
              </w:rPr>
              <w:t>P</w:t>
            </w:r>
            <w:r w:rsidR="00F55BC0">
              <w:rPr>
                <w:w w:val="110"/>
                <w:sz w:val="21"/>
                <w:szCs w:val="21"/>
              </w:rPr>
              <w:t>aying off 2nd lien mortgages—</w:t>
            </w:r>
            <w:r w:rsidRPr="00EC0B05">
              <w:rPr>
                <w:w w:val="110"/>
                <w:sz w:val="21"/>
                <w:szCs w:val="21"/>
              </w:rPr>
              <w:t xml:space="preserve">12 months seasoning isn’t required </w:t>
            </w:r>
          </w:p>
          <w:p w14:paraId="6B0E2F4B" w14:textId="77777777" w:rsidR="000016AE" w:rsidRDefault="000016AE" w:rsidP="00A8756A">
            <w:pPr>
              <w:pStyle w:val="ListParagraph"/>
              <w:numPr>
                <w:ilvl w:val="0"/>
                <w:numId w:val="14"/>
              </w:numPr>
              <w:rPr>
                <w:w w:val="110"/>
                <w:sz w:val="21"/>
                <w:szCs w:val="21"/>
              </w:rPr>
            </w:pPr>
            <w:r w:rsidRPr="00EC0B05">
              <w:rPr>
                <w:w w:val="110"/>
                <w:sz w:val="21"/>
                <w:szCs w:val="21"/>
              </w:rPr>
              <w:lastRenderedPageBreak/>
              <w:t>Rounded to the nearest $100, not to exceed applicable LTV ratios.</w:t>
            </w:r>
          </w:p>
          <w:p w14:paraId="339A4B47" w14:textId="40DC8223" w:rsidR="000739CD" w:rsidRPr="00EC0B05" w:rsidRDefault="000739CD" w:rsidP="00A8756A">
            <w:pPr>
              <w:pStyle w:val="ListParagraph"/>
              <w:numPr>
                <w:ilvl w:val="0"/>
                <w:numId w:val="14"/>
              </w:numPr>
              <w:rPr>
                <w:w w:val="110"/>
                <w:sz w:val="21"/>
                <w:szCs w:val="21"/>
              </w:rPr>
            </w:pPr>
            <w:r>
              <w:rPr>
                <w:w w:val="110"/>
                <w:sz w:val="21"/>
                <w:szCs w:val="21"/>
              </w:rPr>
              <w:t>Payoff of outstanding property taxes</w:t>
            </w:r>
          </w:p>
          <w:p w14:paraId="1A39492F" w14:textId="77777777" w:rsidR="000016AE" w:rsidRPr="00EC0B05" w:rsidRDefault="000016AE" w:rsidP="00A8756A">
            <w:pPr>
              <w:pStyle w:val="ListParagraph"/>
              <w:numPr>
                <w:ilvl w:val="0"/>
                <w:numId w:val="14"/>
              </w:numPr>
              <w:rPr>
                <w:w w:val="110"/>
                <w:sz w:val="21"/>
                <w:szCs w:val="21"/>
              </w:rPr>
            </w:pPr>
            <w:r w:rsidRPr="00EC0B05">
              <w:rPr>
                <w:w w:val="110"/>
                <w:sz w:val="21"/>
                <w:szCs w:val="21"/>
              </w:rPr>
              <w:t xml:space="preserve">Incidental cash to the borrower may not exceed $10,000.  This includes payment of debts, property taxes and tax liens.  </w:t>
            </w:r>
          </w:p>
        </w:tc>
      </w:tr>
      <w:tr w:rsidR="00EC0B05" w:rsidRPr="00EC0B05" w14:paraId="5A303E9B" w14:textId="77777777" w:rsidTr="0063752F">
        <w:tc>
          <w:tcPr>
            <w:tcW w:w="1336" w:type="pct"/>
          </w:tcPr>
          <w:p w14:paraId="395E3E84" w14:textId="77777777" w:rsidR="000016AE" w:rsidRPr="00EC0B05" w:rsidRDefault="000016AE" w:rsidP="00471F7C">
            <w:pPr>
              <w:rPr>
                <w:b/>
                <w:w w:val="110"/>
                <w:sz w:val="21"/>
                <w:szCs w:val="21"/>
              </w:rPr>
            </w:pPr>
            <w:bookmarkStart w:id="89" w:name="Refi_cashout"/>
            <w:r w:rsidRPr="00EC0B05">
              <w:rPr>
                <w:b/>
                <w:w w:val="110"/>
                <w:sz w:val="21"/>
                <w:szCs w:val="21"/>
              </w:rPr>
              <w:lastRenderedPageBreak/>
              <w:t xml:space="preserve">Refinance </w:t>
            </w:r>
          </w:p>
          <w:p w14:paraId="6F9115F5" w14:textId="77777777" w:rsidR="000016AE" w:rsidRPr="00EC0B05" w:rsidRDefault="000016AE" w:rsidP="00DF4668">
            <w:pPr>
              <w:rPr>
                <w:w w:val="110"/>
                <w:sz w:val="21"/>
                <w:szCs w:val="21"/>
              </w:rPr>
            </w:pPr>
            <w:r w:rsidRPr="00EC0B05">
              <w:rPr>
                <w:b/>
                <w:w w:val="110"/>
                <w:sz w:val="21"/>
                <w:szCs w:val="21"/>
              </w:rPr>
              <w:t>Cash-Out</w:t>
            </w:r>
            <w:bookmarkEnd w:id="89"/>
          </w:p>
        </w:tc>
        <w:tc>
          <w:tcPr>
            <w:tcW w:w="3664" w:type="pct"/>
          </w:tcPr>
          <w:p w14:paraId="2C044733" w14:textId="77777777" w:rsidR="000016AE" w:rsidRPr="00EC0B05" w:rsidRDefault="000016AE" w:rsidP="00A8756A">
            <w:pPr>
              <w:pStyle w:val="BodyText"/>
              <w:numPr>
                <w:ilvl w:val="0"/>
                <w:numId w:val="8"/>
              </w:numPr>
              <w:kinsoku w:val="0"/>
              <w:overflowPunct w:val="0"/>
              <w:ind w:right="434"/>
              <w:rPr>
                <w:rFonts w:asciiTheme="minorHAnsi" w:eastAsiaTheme="minorHAnsi" w:hAnsiTheme="minorHAnsi" w:cstheme="minorBidi"/>
                <w:w w:val="110"/>
              </w:rPr>
            </w:pPr>
            <w:r w:rsidRPr="00EC0B05">
              <w:rPr>
                <w:rFonts w:asciiTheme="minorHAnsi" w:eastAsiaTheme="minorHAnsi" w:hAnsiTheme="minorHAnsi" w:cstheme="minorBidi"/>
                <w:w w:val="110"/>
              </w:rPr>
              <w:t>Cash out is not available on Texas Homestead properties (Texas 50 (a)( 6)).</w:t>
            </w:r>
          </w:p>
          <w:p w14:paraId="3B2C3849" w14:textId="77777777" w:rsidR="000016AE" w:rsidRPr="00EC0B05" w:rsidRDefault="000016AE" w:rsidP="00A8756A">
            <w:pPr>
              <w:pStyle w:val="ListParagraph"/>
              <w:numPr>
                <w:ilvl w:val="0"/>
                <w:numId w:val="8"/>
              </w:numPr>
              <w:rPr>
                <w:w w:val="110"/>
                <w:sz w:val="21"/>
                <w:szCs w:val="21"/>
              </w:rPr>
            </w:pPr>
            <w:r w:rsidRPr="00EC0B05">
              <w:rPr>
                <w:w w:val="110"/>
                <w:sz w:val="21"/>
                <w:szCs w:val="21"/>
              </w:rPr>
              <w:t>See “Calculating LTV” for guidelines to determine LTV on cash-out transactions.</w:t>
            </w:r>
          </w:p>
          <w:p w14:paraId="2A780A4F" w14:textId="77777777" w:rsidR="000016AE" w:rsidRPr="00EC0B05" w:rsidRDefault="000016AE" w:rsidP="00A8756A">
            <w:pPr>
              <w:pStyle w:val="ListParagraph"/>
              <w:numPr>
                <w:ilvl w:val="0"/>
                <w:numId w:val="8"/>
              </w:numPr>
              <w:rPr>
                <w:w w:val="110"/>
                <w:sz w:val="21"/>
                <w:szCs w:val="21"/>
              </w:rPr>
            </w:pPr>
            <w:r w:rsidRPr="00EC0B05">
              <w:rPr>
                <w:w w:val="110"/>
                <w:sz w:val="21"/>
                <w:szCs w:val="21"/>
              </w:rPr>
              <w:t>Properties listed for sale must be taken off of the market before obtaining a cash out refinance.</w:t>
            </w:r>
          </w:p>
        </w:tc>
      </w:tr>
      <w:tr w:rsidR="00EC0B05" w:rsidRPr="00EC0B05" w14:paraId="3CCF689D" w14:textId="77777777" w:rsidTr="0063752F">
        <w:tc>
          <w:tcPr>
            <w:tcW w:w="1336" w:type="pct"/>
          </w:tcPr>
          <w:p w14:paraId="07DEAC36" w14:textId="77777777" w:rsidR="000016AE" w:rsidRPr="00EC0B05" w:rsidRDefault="000016AE" w:rsidP="00471F7C">
            <w:pPr>
              <w:rPr>
                <w:b/>
                <w:w w:val="110"/>
                <w:sz w:val="21"/>
                <w:szCs w:val="21"/>
              </w:rPr>
            </w:pPr>
            <w:bookmarkStart w:id="90" w:name="rebtal_inc"/>
            <w:bookmarkStart w:id="91" w:name="rental_inc"/>
            <w:r w:rsidRPr="00EC0B05">
              <w:rPr>
                <w:b/>
                <w:w w:val="110"/>
                <w:sz w:val="21"/>
                <w:szCs w:val="21"/>
              </w:rPr>
              <w:t xml:space="preserve">Rental Income </w:t>
            </w:r>
            <w:bookmarkEnd w:id="90"/>
            <w:bookmarkEnd w:id="91"/>
          </w:p>
        </w:tc>
        <w:tc>
          <w:tcPr>
            <w:tcW w:w="3664" w:type="pct"/>
          </w:tcPr>
          <w:p w14:paraId="3E74A366" w14:textId="77777777" w:rsidR="00951648" w:rsidRDefault="000016AE">
            <w:pPr>
              <w:pStyle w:val="BodyText"/>
              <w:ind w:right="129"/>
              <w:contextualSpacing/>
              <w:rPr>
                <w:rFonts w:asciiTheme="minorHAnsi" w:eastAsiaTheme="minorHAnsi" w:hAnsiTheme="minorHAnsi" w:cstheme="minorBidi"/>
                <w:w w:val="110"/>
              </w:rPr>
            </w:pPr>
            <w:r w:rsidRPr="00EC0B05">
              <w:rPr>
                <w:rFonts w:asciiTheme="minorHAnsi" w:eastAsiaTheme="minorHAnsi" w:hAnsiTheme="minorHAnsi" w:cstheme="minorBidi"/>
                <w:w w:val="110"/>
              </w:rPr>
              <w:t xml:space="preserve">If a borrower has a history of renting the subject or another property, the rental income should be reported on IRS Form 1040, Schedule E of the borrower’s personal tax returns, or on Rental Real Estate Income and Expenses of a Partnership or an S Corporation form of a business tax return.  </w:t>
            </w:r>
          </w:p>
          <w:p w14:paraId="65C8A791" w14:textId="77777777" w:rsidR="00951648" w:rsidRDefault="00951648">
            <w:pPr>
              <w:pStyle w:val="BodyText"/>
              <w:ind w:right="129"/>
              <w:contextualSpacing/>
              <w:rPr>
                <w:rFonts w:asciiTheme="minorHAnsi" w:eastAsiaTheme="minorHAnsi" w:hAnsiTheme="minorHAnsi" w:cstheme="minorBidi"/>
                <w:w w:val="110"/>
              </w:rPr>
            </w:pPr>
          </w:p>
          <w:p w14:paraId="6C0D525B" w14:textId="72C06F5C" w:rsidR="000016AE" w:rsidRPr="00EC0B05" w:rsidRDefault="000016AE">
            <w:pPr>
              <w:pStyle w:val="BodyText"/>
              <w:ind w:right="129"/>
              <w:contextualSpacing/>
              <w:rPr>
                <w:rFonts w:asciiTheme="minorHAnsi" w:eastAsiaTheme="minorHAnsi" w:hAnsiTheme="minorHAnsi" w:cstheme="minorBidi"/>
                <w:w w:val="110"/>
              </w:rPr>
            </w:pPr>
            <w:r w:rsidRPr="00EC0B05">
              <w:rPr>
                <w:rFonts w:asciiTheme="minorHAnsi" w:eastAsiaTheme="minorHAnsi" w:hAnsiTheme="minorHAnsi" w:cstheme="minorBidi"/>
                <w:w w:val="110"/>
              </w:rPr>
              <w:t>If the borrower does not have a history of renting the subject property, or if the tax returns do not accurately reflect the ongoing income and expenses of the property, it is acceptable to utilize a fully executed lease agreement</w:t>
            </w:r>
            <w:r w:rsidR="006E374F">
              <w:rPr>
                <w:rFonts w:asciiTheme="minorHAnsi" w:eastAsiaTheme="minorHAnsi" w:hAnsiTheme="minorHAnsi" w:cstheme="minorBidi"/>
                <w:w w:val="110"/>
              </w:rPr>
              <w:t xml:space="preserve"> or a signed explanation attesting to the monthly rent the borrower intends to charge</w:t>
            </w:r>
            <w:r w:rsidRPr="00EC0B05">
              <w:rPr>
                <w:rFonts w:asciiTheme="minorHAnsi" w:eastAsiaTheme="minorHAnsi" w:hAnsiTheme="minorHAnsi" w:cstheme="minorBidi"/>
                <w:w w:val="110"/>
              </w:rPr>
              <w:t xml:space="preserve"> for documentation.  Such rationale must be</w:t>
            </w:r>
            <w:r w:rsidR="00361469" w:rsidRPr="00EC0B05">
              <w:rPr>
                <w:rFonts w:asciiTheme="minorHAnsi" w:eastAsiaTheme="minorHAnsi" w:hAnsiTheme="minorHAnsi" w:cstheme="minorBidi"/>
                <w:w w:val="110"/>
              </w:rPr>
              <w:t xml:space="preserve"> reasonable an</w:t>
            </w:r>
            <w:r w:rsidR="00951648">
              <w:rPr>
                <w:rFonts w:asciiTheme="minorHAnsi" w:eastAsiaTheme="minorHAnsi" w:hAnsiTheme="minorHAnsi" w:cstheme="minorBidi"/>
                <w:w w:val="110"/>
              </w:rPr>
              <w:t>d supported</w:t>
            </w:r>
            <w:r w:rsidR="00361469" w:rsidRPr="00EC0B05">
              <w:rPr>
                <w:rFonts w:asciiTheme="minorHAnsi" w:eastAsiaTheme="minorHAnsi" w:hAnsiTheme="minorHAnsi" w:cstheme="minorBidi"/>
                <w:w w:val="110"/>
              </w:rPr>
              <w:t xml:space="preserve"> </w:t>
            </w:r>
            <w:r w:rsidR="00951648">
              <w:rPr>
                <w:rFonts w:asciiTheme="minorHAnsi" w:eastAsiaTheme="minorHAnsi" w:hAnsiTheme="minorHAnsi" w:cstheme="minorBidi"/>
                <w:w w:val="110"/>
              </w:rPr>
              <w:t>by</w:t>
            </w:r>
            <w:r w:rsidR="00361469" w:rsidRPr="00EC0B05">
              <w:rPr>
                <w:rFonts w:asciiTheme="minorHAnsi" w:eastAsiaTheme="minorHAnsi" w:hAnsiTheme="minorHAnsi" w:cstheme="minorBidi"/>
                <w:w w:val="110"/>
              </w:rPr>
              <w:t xml:space="preserve"> a rental survey ordered through </w:t>
            </w:r>
            <w:r w:rsidR="00951648">
              <w:rPr>
                <w:rFonts w:asciiTheme="minorHAnsi" w:eastAsiaTheme="minorHAnsi" w:hAnsiTheme="minorHAnsi" w:cstheme="minorBidi"/>
                <w:w w:val="110"/>
              </w:rPr>
              <w:t xml:space="preserve">an </w:t>
            </w:r>
            <w:r w:rsidR="00361469" w:rsidRPr="00EC0B05">
              <w:rPr>
                <w:rFonts w:asciiTheme="minorHAnsi" w:eastAsiaTheme="minorHAnsi" w:hAnsiTheme="minorHAnsi" w:cstheme="minorBidi"/>
                <w:w w:val="110"/>
              </w:rPr>
              <w:t>approved AMC.</w:t>
            </w:r>
          </w:p>
          <w:p w14:paraId="55E5D013" w14:textId="77777777" w:rsidR="00F55BC0" w:rsidRDefault="00F55BC0">
            <w:pPr>
              <w:pStyle w:val="BodyText"/>
              <w:ind w:right="129"/>
              <w:contextualSpacing/>
              <w:rPr>
                <w:rFonts w:asciiTheme="minorHAnsi" w:eastAsiaTheme="minorHAnsi" w:hAnsiTheme="minorHAnsi" w:cstheme="minorBidi"/>
                <w:w w:val="110"/>
              </w:rPr>
            </w:pPr>
          </w:p>
          <w:p w14:paraId="561D6F35" w14:textId="68DF3449" w:rsidR="000016AE" w:rsidRPr="00EC0B05" w:rsidRDefault="000016AE">
            <w:pPr>
              <w:pStyle w:val="BodyText"/>
              <w:ind w:right="129"/>
              <w:contextualSpacing/>
              <w:rPr>
                <w:rFonts w:asciiTheme="minorHAnsi" w:eastAsiaTheme="minorHAnsi" w:hAnsiTheme="minorHAnsi" w:cstheme="minorBidi"/>
                <w:w w:val="110"/>
              </w:rPr>
            </w:pPr>
            <w:r w:rsidRPr="00EC0B05">
              <w:rPr>
                <w:rFonts w:asciiTheme="minorHAnsi" w:eastAsiaTheme="minorHAnsi" w:hAnsiTheme="minorHAnsi" w:cstheme="minorBidi"/>
                <w:w w:val="110"/>
              </w:rPr>
              <w:t>If the subject property is a seasonal rental and the borrower does not yet have a history of receipt of seasonal rental income, a</w:t>
            </w:r>
            <w:r w:rsidR="00E5611A">
              <w:rPr>
                <w:rFonts w:asciiTheme="minorHAnsi" w:eastAsiaTheme="minorHAnsi" w:hAnsiTheme="minorHAnsi" w:cstheme="minorBidi"/>
                <w:w w:val="110"/>
              </w:rPr>
              <w:t>n appraiser completed</w:t>
            </w:r>
            <w:r w:rsidRPr="00EC0B05">
              <w:rPr>
                <w:rFonts w:asciiTheme="minorHAnsi" w:eastAsiaTheme="minorHAnsi" w:hAnsiTheme="minorHAnsi" w:cstheme="minorBidi"/>
                <w:w w:val="110"/>
              </w:rPr>
              <w:t xml:space="preserve"> rental survey shown on the appraisal report </w:t>
            </w:r>
            <w:r w:rsidR="00E5611A">
              <w:rPr>
                <w:rFonts w:asciiTheme="minorHAnsi" w:eastAsiaTheme="minorHAnsi" w:hAnsiTheme="minorHAnsi" w:cstheme="minorBidi"/>
                <w:w w:val="110"/>
              </w:rPr>
              <w:t xml:space="preserve">and </w:t>
            </w:r>
            <w:r w:rsidRPr="00EC0B05">
              <w:rPr>
                <w:rFonts w:asciiTheme="minorHAnsi" w:eastAsiaTheme="minorHAnsi" w:hAnsiTheme="minorHAnsi" w:cstheme="minorBidi"/>
                <w:w w:val="110"/>
              </w:rPr>
              <w:t xml:space="preserve">letter from </w:t>
            </w:r>
            <w:r w:rsidR="00E5611A">
              <w:rPr>
                <w:rFonts w:asciiTheme="minorHAnsi" w:eastAsiaTheme="minorHAnsi" w:hAnsiTheme="minorHAnsi" w:cstheme="minorBidi"/>
                <w:w w:val="110"/>
              </w:rPr>
              <w:t xml:space="preserve">the borrower or </w:t>
            </w:r>
            <w:r w:rsidRPr="00EC0B05">
              <w:rPr>
                <w:rFonts w:asciiTheme="minorHAnsi" w:eastAsiaTheme="minorHAnsi" w:hAnsiTheme="minorHAnsi" w:cstheme="minorBidi"/>
                <w:w w:val="110"/>
              </w:rPr>
              <w:t xml:space="preserve">a property manager documenting the average annual rental income for the subject may be utilized to calculate the projected recurring cash flow.  </w:t>
            </w:r>
          </w:p>
          <w:p w14:paraId="424031B9" w14:textId="77777777" w:rsidR="000016AE" w:rsidRPr="00EC0B05" w:rsidRDefault="000016AE" w:rsidP="00DF4668">
            <w:pPr>
              <w:pStyle w:val="BodyText"/>
              <w:ind w:right="129"/>
              <w:contextualSpacing/>
              <w:rPr>
                <w:rFonts w:asciiTheme="minorHAnsi" w:eastAsiaTheme="minorHAnsi" w:hAnsiTheme="minorHAnsi" w:cstheme="minorBidi"/>
                <w:w w:val="110"/>
              </w:rPr>
            </w:pPr>
          </w:p>
          <w:p w14:paraId="3F60820F" w14:textId="77777777" w:rsidR="00F42386" w:rsidRPr="00506A5A" w:rsidRDefault="00F42386" w:rsidP="00F42386">
            <w:pPr>
              <w:contextualSpacing/>
              <w:rPr>
                <w:w w:val="110"/>
                <w:sz w:val="21"/>
                <w:szCs w:val="21"/>
              </w:rPr>
            </w:pPr>
            <w:r>
              <w:rPr>
                <w:b/>
                <w:w w:val="110"/>
              </w:rPr>
              <w:t>Calculation when</w:t>
            </w:r>
            <w:r w:rsidRPr="00506A5A">
              <w:rPr>
                <w:b/>
                <w:w w:val="110"/>
              </w:rPr>
              <w:t xml:space="preserve"> </w:t>
            </w:r>
            <w:r>
              <w:rPr>
                <w:b/>
                <w:w w:val="110"/>
              </w:rPr>
              <w:t xml:space="preserve">One to </w:t>
            </w:r>
            <w:r w:rsidRPr="00506A5A">
              <w:rPr>
                <w:b/>
                <w:w w:val="110"/>
              </w:rPr>
              <w:t xml:space="preserve">Four Rental Properties </w:t>
            </w:r>
            <w:r>
              <w:rPr>
                <w:b/>
                <w:w w:val="110"/>
              </w:rPr>
              <w:t xml:space="preserve">are </w:t>
            </w:r>
            <w:r w:rsidRPr="00506A5A">
              <w:rPr>
                <w:b/>
                <w:w w:val="110"/>
              </w:rPr>
              <w:t>Owned</w:t>
            </w:r>
            <w:r w:rsidRPr="00506A5A">
              <w:rPr>
                <w:w w:val="110"/>
                <w:sz w:val="21"/>
                <w:szCs w:val="21"/>
              </w:rPr>
              <w:t xml:space="preserve"> </w:t>
            </w:r>
          </w:p>
          <w:p w14:paraId="785C4511" w14:textId="77777777" w:rsidR="000016AE" w:rsidRPr="00EC0B05" w:rsidRDefault="000016AE">
            <w:pPr>
              <w:contextualSpacing/>
              <w:rPr>
                <w:w w:val="110"/>
                <w:sz w:val="21"/>
                <w:szCs w:val="21"/>
              </w:rPr>
            </w:pPr>
            <w:r w:rsidRPr="00EC0B05">
              <w:rPr>
                <w:w w:val="110"/>
                <w:sz w:val="21"/>
                <w:szCs w:val="21"/>
              </w:rPr>
              <w:t>When evaluating individual rental income from investment property(s) up to 4 properties, a cash flow analysis including the following adjustments should be utilized when Schedule E is used:</w:t>
            </w:r>
          </w:p>
          <w:p w14:paraId="06D2A733" w14:textId="77777777" w:rsidR="000016AE" w:rsidRPr="00EC0B05" w:rsidRDefault="000016AE">
            <w:pPr>
              <w:autoSpaceDE w:val="0"/>
              <w:autoSpaceDN w:val="0"/>
              <w:adjustRightInd w:val="0"/>
              <w:contextualSpacing/>
              <w:rPr>
                <w:w w:val="110"/>
                <w:sz w:val="21"/>
                <w:szCs w:val="21"/>
              </w:rPr>
            </w:pPr>
            <w:r w:rsidRPr="00EC0B05">
              <w:rPr>
                <w:w w:val="110"/>
                <w:sz w:val="21"/>
                <w:szCs w:val="21"/>
              </w:rPr>
              <w:t>Add back the following items to income:</w:t>
            </w:r>
          </w:p>
          <w:p w14:paraId="5A64F31E" w14:textId="77777777" w:rsidR="000016AE" w:rsidRPr="00EC0B05" w:rsidRDefault="000016AE" w:rsidP="00A8756A">
            <w:pPr>
              <w:pStyle w:val="BodyText"/>
              <w:numPr>
                <w:ilvl w:val="0"/>
                <w:numId w:val="21"/>
              </w:numPr>
              <w:autoSpaceDE/>
              <w:autoSpaceDN/>
              <w:adjustRightInd/>
              <w:ind w:left="702" w:right="224"/>
              <w:contextualSpacing/>
              <w:rPr>
                <w:rFonts w:asciiTheme="minorHAnsi" w:eastAsiaTheme="minorHAnsi" w:hAnsiTheme="minorHAnsi" w:cstheme="minorBidi"/>
                <w:w w:val="110"/>
              </w:rPr>
            </w:pPr>
            <w:r w:rsidRPr="00EC0B05">
              <w:rPr>
                <w:rFonts w:asciiTheme="minorHAnsi" w:eastAsiaTheme="minorHAnsi" w:hAnsiTheme="minorHAnsi" w:cstheme="minorBidi"/>
                <w:w w:val="110"/>
              </w:rPr>
              <w:t xml:space="preserve">Depreciation, </w:t>
            </w:r>
          </w:p>
          <w:p w14:paraId="6DCFAA73" w14:textId="77777777" w:rsidR="000016AE" w:rsidRPr="00EC0B05" w:rsidRDefault="000016AE" w:rsidP="00A8756A">
            <w:pPr>
              <w:pStyle w:val="BodyText"/>
              <w:numPr>
                <w:ilvl w:val="0"/>
                <w:numId w:val="21"/>
              </w:numPr>
              <w:autoSpaceDE/>
              <w:autoSpaceDN/>
              <w:adjustRightInd/>
              <w:ind w:left="702" w:right="224"/>
              <w:contextualSpacing/>
              <w:rPr>
                <w:rFonts w:asciiTheme="minorHAnsi" w:eastAsiaTheme="minorHAnsi" w:hAnsiTheme="minorHAnsi" w:cstheme="minorBidi"/>
                <w:w w:val="110"/>
              </w:rPr>
            </w:pPr>
            <w:r w:rsidRPr="00EC0B05">
              <w:rPr>
                <w:rFonts w:asciiTheme="minorHAnsi" w:eastAsiaTheme="minorHAnsi" w:hAnsiTheme="minorHAnsi" w:cstheme="minorBidi"/>
                <w:w w:val="110"/>
              </w:rPr>
              <w:t xml:space="preserve">Interest, </w:t>
            </w:r>
          </w:p>
          <w:p w14:paraId="52CAF4D6" w14:textId="77777777" w:rsidR="000016AE" w:rsidRPr="00EC0B05" w:rsidRDefault="000016AE" w:rsidP="00A8756A">
            <w:pPr>
              <w:pStyle w:val="BodyText"/>
              <w:numPr>
                <w:ilvl w:val="0"/>
                <w:numId w:val="21"/>
              </w:numPr>
              <w:autoSpaceDE/>
              <w:autoSpaceDN/>
              <w:adjustRightInd/>
              <w:ind w:left="702" w:right="224"/>
              <w:contextualSpacing/>
              <w:rPr>
                <w:rFonts w:asciiTheme="minorHAnsi" w:eastAsiaTheme="minorHAnsi" w:hAnsiTheme="minorHAnsi" w:cstheme="minorBidi"/>
                <w:w w:val="110"/>
              </w:rPr>
            </w:pPr>
            <w:r w:rsidRPr="00EC0B05">
              <w:rPr>
                <w:rFonts w:asciiTheme="minorHAnsi" w:eastAsiaTheme="minorHAnsi" w:hAnsiTheme="minorHAnsi" w:cstheme="minorBidi"/>
                <w:w w:val="110"/>
              </w:rPr>
              <w:t xml:space="preserve">Homeowners’ association dues, </w:t>
            </w:r>
          </w:p>
          <w:p w14:paraId="4F1FA7B5" w14:textId="77777777" w:rsidR="000016AE" w:rsidRPr="00EC0B05" w:rsidRDefault="000016AE" w:rsidP="00A8756A">
            <w:pPr>
              <w:pStyle w:val="BodyText"/>
              <w:numPr>
                <w:ilvl w:val="0"/>
                <w:numId w:val="21"/>
              </w:numPr>
              <w:autoSpaceDE/>
              <w:autoSpaceDN/>
              <w:adjustRightInd/>
              <w:ind w:left="702" w:right="224"/>
              <w:contextualSpacing/>
              <w:rPr>
                <w:rFonts w:asciiTheme="minorHAnsi" w:eastAsiaTheme="minorHAnsi" w:hAnsiTheme="minorHAnsi" w:cstheme="minorBidi"/>
                <w:w w:val="110"/>
              </w:rPr>
            </w:pPr>
            <w:r w:rsidRPr="00EC0B05">
              <w:rPr>
                <w:rFonts w:asciiTheme="minorHAnsi" w:eastAsiaTheme="minorHAnsi" w:hAnsiTheme="minorHAnsi" w:cstheme="minorBidi"/>
                <w:w w:val="110"/>
              </w:rPr>
              <w:t xml:space="preserve">Taxes, </w:t>
            </w:r>
          </w:p>
          <w:p w14:paraId="0C71AF29" w14:textId="77777777" w:rsidR="000016AE" w:rsidRPr="00EC0B05" w:rsidRDefault="000016AE" w:rsidP="00A8756A">
            <w:pPr>
              <w:pStyle w:val="BodyText"/>
              <w:numPr>
                <w:ilvl w:val="0"/>
                <w:numId w:val="21"/>
              </w:numPr>
              <w:autoSpaceDE/>
              <w:autoSpaceDN/>
              <w:adjustRightInd/>
              <w:ind w:left="702" w:right="224"/>
              <w:contextualSpacing/>
              <w:rPr>
                <w:rFonts w:asciiTheme="minorHAnsi" w:eastAsiaTheme="minorHAnsi" w:hAnsiTheme="minorHAnsi" w:cstheme="minorBidi"/>
                <w:w w:val="110"/>
              </w:rPr>
            </w:pPr>
            <w:r w:rsidRPr="00EC0B05">
              <w:rPr>
                <w:rFonts w:asciiTheme="minorHAnsi" w:eastAsiaTheme="minorHAnsi" w:hAnsiTheme="minorHAnsi" w:cstheme="minorBidi"/>
                <w:w w:val="110"/>
              </w:rPr>
              <w:t xml:space="preserve">Insurance expenses to the borrower’s cash flow.  </w:t>
            </w:r>
          </w:p>
          <w:p w14:paraId="00597AA9" w14:textId="77777777" w:rsidR="000016AE" w:rsidRPr="00EC0B05" w:rsidRDefault="000016AE" w:rsidP="00A8756A">
            <w:pPr>
              <w:pStyle w:val="BodyText"/>
              <w:numPr>
                <w:ilvl w:val="0"/>
                <w:numId w:val="21"/>
              </w:numPr>
              <w:autoSpaceDE/>
              <w:autoSpaceDN/>
              <w:adjustRightInd/>
              <w:ind w:left="702" w:right="224"/>
              <w:contextualSpacing/>
              <w:rPr>
                <w:rFonts w:asciiTheme="minorHAnsi" w:eastAsiaTheme="minorHAnsi" w:hAnsiTheme="minorHAnsi" w:cstheme="minorBidi"/>
                <w:w w:val="110"/>
              </w:rPr>
            </w:pPr>
            <w:r w:rsidRPr="00EC0B05">
              <w:rPr>
                <w:rFonts w:asciiTheme="minorHAnsi" w:eastAsiaTheme="minorHAnsi" w:hAnsiTheme="minorHAnsi" w:cstheme="minorBidi"/>
                <w:w w:val="110"/>
              </w:rPr>
              <w:t>Non-recurring property expenses</w:t>
            </w:r>
          </w:p>
          <w:p w14:paraId="03C352CE" w14:textId="77777777" w:rsidR="000016AE" w:rsidRPr="00EC0B05" w:rsidRDefault="000016AE" w:rsidP="00471F7C">
            <w:pPr>
              <w:autoSpaceDE w:val="0"/>
              <w:autoSpaceDN w:val="0"/>
              <w:adjustRightInd w:val="0"/>
              <w:ind w:left="2880"/>
              <w:contextualSpacing/>
              <w:rPr>
                <w:w w:val="110"/>
                <w:sz w:val="21"/>
                <w:szCs w:val="21"/>
              </w:rPr>
            </w:pPr>
          </w:p>
          <w:p w14:paraId="774C5F28" w14:textId="77777777" w:rsidR="000016AE" w:rsidRPr="00EC0B05" w:rsidRDefault="000016AE">
            <w:pPr>
              <w:shd w:val="clear" w:color="auto" w:fill="FFFFFF"/>
              <w:contextualSpacing/>
              <w:rPr>
                <w:w w:val="110"/>
                <w:sz w:val="21"/>
                <w:szCs w:val="21"/>
              </w:rPr>
            </w:pPr>
            <w:r w:rsidRPr="00EC0B05">
              <w:rPr>
                <w:w w:val="110"/>
                <w:sz w:val="21"/>
                <w:szCs w:val="21"/>
              </w:rPr>
              <w:t xml:space="preserve">If the rental income (or loss) relates to a property other than the borrower's principal residence the following calculation is followed: </w:t>
            </w:r>
          </w:p>
          <w:p w14:paraId="47EB8431" w14:textId="77777777" w:rsidR="000016AE" w:rsidRPr="00EC0B05" w:rsidRDefault="000016AE" w:rsidP="00A8756A">
            <w:pPr>
              <w:numPr>
                <w:ilvl w:val="0"/>
                <w:numId w:val="22"/>
              </w:numPr>
              <w:shd w:val="clear" w:color="auto" w:fill="FFFFFF"/>
              <w:tabs>
                <w:tab w:val="clear" w:pos="3240"/>
              </w:tabs>
              <w:ind w:left="702"/>
              <w:contextualSpacing/>
              <w:rPr>
                <w:w w:val="110"/>
                <w:sz w:val="21"/>
                <w:szCs w:val="21"/>
              </w:rPr>
            </w:pPr>
            <w:r w:rsidRPr="00EC0B05">
              <w:rPr>
                <w:w w:val="110"/>
                <w:sz w:val="21"/>
                <w:szCs w:val="21"/>
              </w:rPr>
              <w:t xml:space="preserve">If the monthly qualifying rental income (as defined above) minus the full PITIA is positive, it must be added to the borrower’s total monthly income. </w:t>
            </w:r>
          </w:p>
          <w:p w14:paraId="313B2CD6" w14:textId="77777777" w:rsidR="000016AE" w:rsidRPr="00EC0B05" w:rsidRDefault="000016AE" w:rsidP="00A8756A">
            <w:pPr>
              <w:numPr>
                <w:ilvl w:val="0"/>
                <w:numId w:val="22"/>
              </w:numPr>
              <w:shd w:val="clear" w:color="auto" w:fill="FFFFFF"/>
              <w:tabs>
                <w:tab w:val="clear" w:pos="3240"/>
              </w:tabs>
              <w:ind w:left="702"/>
              <w:contextualSpacing/>
              <w:rPr>
                <w:w w:val="110"/>
                <w:sz w:val="21"/>
                <w:szCs w:val="21"/>
              </w:rPr>
            </w:pPr>
            <w:r w:rsidRPr="00EC0B05">
              <w:rPr>
                <w:w w:val="110"/>
                <w:sz w:val="21"/>
                <w:szCs w:val="21"/>
              </w:rPr>
              <w:t xml:space="preserve">If the monthly qualifying rental income minus PITIA is negative, the monthly net rental loss must be added to the borrower’s total monthly obligations. </w:t>
            </w:r>
          </w:p>
          <w:p w14:paraId="4633C9D6" w14:textId="77777777" w:rsidR="000016AE" w:rsidRPr="00EC0B05" w:rsidRDefault="000016AE" w:rsidP="00471F7C">
            <w:pPr>
              <w:shd w:val="clear" w:color="auto" w:fill="FFFFFF"/>
              <w:contextualSpacing/>
              <w:rPr>
                <w:w w:val="110"/>
                <w:sz w:val="21"/>
                <w:szCs w:val="21"/>
              </w:rPr>
            </w:pPr>
          </w:p>
          <w:p w14:paraId="4BD2E425" w14:textId="77777777" w:rsidR="000016AE" w:rsidRPr="00EC0B05" w:rsidRDefault="000016AE">
            <w:pPr>
              <w:shd w:val="clear" w:color="auto" w:fill="FFFFFF"/>
              <w:contextualSpacing/>
              <w:rPr>
                <w:w w:val="110"/>
                <w:sz w:val="21"/>
                <w:szCs w:val="21"/>
              </w:rPr>
            </w:pPr>
            <w:r w:rsidRPr="00EC0B05">
              <w:rPr>
                <w:w w:val="110"/>
                <w:sz w:val="21"/>
                <w:szCs w:val="21"/>
              </w:rPr>
              <w:t xml:space="preserve">In order to determine qualifying rental income, the underwriter must determine whether or not the rental property was in service for the entire tax year or only a </w:t>
            </w:r>
            <w:r w:rsidRPr="00EC0B05">
              <w:rPr>
                <w:w w:val="110"/>
                <w:sz w:val="21"/>
                <w:szCs w:val="21"/>
              </w:rPr>
              <w:lastRenderedPageBreak/>
              <w:t xml:space="preserve">portion of the year.   If it is determined qualifying rental income may be determined by using: </w:t>
            </w:r>
          </w:p>
          <w:p w14:paraId="74872B44" w14:textId="5F5E375E" w:rsidR="00361469" w:rsidRPr="00571B74" w:rsidRDefault="000016AE" w:rsidP="00A8756A">
            <w:pPr>
              <w:numPr>
                <w:ilvl w:val="0"/>
                <w:numId w:val="23"/>
              </w:numPr>
              <w:shd w:val="clear" w:color="auto" w:fill="FFFFFF"/>
              <w:tabs>
                <w:tab w:val="clear" w:pos="3240"/>
              </w:tabs>
              <w:ind w:left="702"/>
              <w:contextualSpacing/>
              <w:rPr>
                <w:w w:val="110"/>
                <w:sz w:val="21"/>
                <w:szCs w:val="21"/>
              </w:rPr>
            </w:pPr>
            <w:r w:rsidRPr="00EC0B05">
              <w:rPr>
                <w:w w:val="110"/>
                <w:sz w:val="21"/>
                <w:szCs w:val="21"/>
              </w:rPr>
              <w:t xml:space="preserve">Schedule E income and expenses, and annualizing the income (or loss) </w:t>
            </w:r>
            <w:r w:rsidR="00325FDB">
              <w:rPr>
                <w:w w:val="110"/>
                <w:sz w:val="21"/>
                <w:szCs w:val="21"/>
              </w:rPr>
              <w:t>calculation</w:t>
            </w:r>
          </w:p>
          <w:p w14:paraId="1616F611" w14:textId="77777777" w:rsidR="00D7333B" w:rsidRDefault="00D7333B" w:rsidP="00471F7C">
            <w:pPr>
              <w:contextualSpacing/>
              <w:rPr>
                <w:b/>
                <w:w w:val="110"/>
                <w:sz w:val="21"/>
                <w:szCs w:val="21"/>
              </w:rPr>
            </w:pPr>
          </w:p>
          <w:p w14:paraId="5A3149A2" w14:textId="0C715FA2" w:rsidR="00F42386" w:rsidRPr="00506A5A" w:rsidRDefault="00F42386" w:rsidP="00F42386">
            <w:pPr>
              <w:contextualSpacing/>
              <w:rPr>
                <w:w w:val="110"/>
                <w:sz w:val="21"/>
                <w:szCs w:val="21"/>
              </w:rPr>
            </w:pPr>
            <w:r>
              <w:rPr>
                <w:b/>
                <w:w w:val="110"/>
              </w:rPr>
              <w:t>Calculation when</w:t>
            </w:r>
            <w:r w:rsidRPr="00506A5A">
              <w:rPr>
                <w:b/>
                <w:w w:val="110"/>
              </w:rPr>
              <w:t xml:space="preserve"> </w:t>
            </w:r>
            <w:r>
              <w:rPr>
                <w:b/>
                <w:w w:val="110"/>
              </w:rPr>
              <w:t>Five or More</w:t>
            </w:r>
            <w:r w:rsidRPr="00506A5A">
              <w:rPr>
                <w:b/>
                <w:w w:val="110"/>
              </w:rPr>
              <w:t xml:space="preserve"> Rental Properties </w:t>
            </w:r>
            <w:r>
              <w:rPr>
                <w:b/>
                <w:w w:val="110"/>
              </w:rPr>
              <w:t xml:space="preserve">are </w:t>
            </w:r>
            <w:r w:rsidRPr="00506A5A">
              <w:rPr>
                <w:b/>
                <w:w w:val="110"/>
              </w:rPr>
              <w:t>Owned</w:t>
            </w:r>
            <w:r w:rsidRPr="00506A5A">
              <w:rPr>
                <w:w w:val="110"/>
                <w:sz w:val="21"/>
                <w:szCs w:val="21"/>
              </w:rPr>
              <w:t xml:space="preserve"> </w:t>
            </w:r>
          </w:p>
          <w:p w14:paraId="409354ED" w14:textId="77777777" w:rsidR="000016AE" w:rsidRPr="00EC0B05" w:rsidRDefault="000016AE">
            <w:pPr>
              <w:contextualSpacing/>
              <w:rPr>
                <w:w w:val="110"/>
                <w:sz w:val="21"/>
                <w:szCs w:val="21"/>
              </w:rPr>
            </w:pPr>
            <w:r w:rsidRPr="00EC0B05">
              <w:rPr>
                <w:w w:val="110"/>
                <w:sz w:val="21"/>
                <w:szCs w:val="21"/>
              </w:rPr>
              <w:t>When analyzing the rental Income from five and over investment properties a cash flow analysis, including the following adjustments, are used when Schedule E is used: Add back</w:t>
            </w:r>
            <w:r w:rsidR="00D35107">
              <w:rPr>
                <w:w w:val="110"/>
                <w:sz w:val="21"/>
                <w:szCs w:val="21"/>
              </w:rPr>
              <w:t xml:space="preserve"> the following items to income:</w:t>
            </w:r>
          </w:p>
          <w:p w14:paraId="6F2DE3F5" w14:textId="77777777" w:rsidR="000016AE" w:rsidRPr="00EC0B05" w:rsidRDefault="000016AE" w:rsidP="00A8756A">
            <w:pPr>
              <w:pStyle w:val="BodyText"/>
              <w:numPr>
                <w:ilvl w:val="0"/>
                <w:numId w:val="21"/>
              </w:numPr>
              <w:autoSpaceDE/>
              <w:autoSpaceDN/>
              <w:adjustRightInd/>
              <w:ind w:left="702" w:right="224"/>
              <w:contextualSpacing/>
              <w:rPr>
                <w:rFonts w:asciiTheme="minorHAnsi" w:eastAsiaTheme="minorHAnsi" w:hAnsiTheme="minorHAnsi" w:cstheme="minorBidi"/>
                <w:w w:val="110"/>
              </w:rPr>
            </w:pPr>
            <w:r w:rsidRPr="00EC0B05">
              <w:rPr>
                <w:rFonts w:asciiTheme="minorHAnsi" w:eastAsiaTheme="minorHAnsi" w:hAnsiTheme="minorHAnsi" w:cstheme="minorBidi"/>
                <w:w w:val="110"/>
              </w:rPr>
              <w:t xml:space="preserve">Depreciation, </w:t>
            </w:r>
          </w:p>
          <w:p w14:paraId="4E8F2DD5" w14:textId="77777777" w:rsidR="000016AE" w:rsidRPr="00EC0B05" w:rsidRDefault="000016AE" w:rsidP="00A8756A">
            <w:pPr>
              <w:pStyle w:val="BodyText"/>
              <w:numPr>
                <w:ilvl w:val="0"/>
                <w:numId w:val="21"/>
              </w:numPr>
              <w:autoSpaceDE/>
              <w:autoSpaceDN/>
              <w:adjustRightInd/>
              <w:ind w:left="702" w:right="224"/>
              <w:contextualSpacing/>
              <w:rPr>
                <w:rFonts w:asciiTheme="minorHAnsi" w:eastAsiaTheme="minorHAnsi" w:hAnsiTheme="minorHAnsi" w:cstheme="minorBidi"/>
                <w:w w:val="110"/>
              </w:rPr>
            </w:pPr>
            <w:r w:rsidRPr="00EC0B05">
              <w:rPr>
                <w:rFonts w:asciiTheme="minorHAnsi" w:eastAsiaTheme="minorHAnsi" w:hAnsiTheme="minorHAnsi" w:cstheme="minorBidi"/>
                <w:w w:val="110"/>
              </w:rPr>
              <w:t>Non-recurring property expenses</w:t>
            </w:r>
          </w:p>
          <w:p w14:paraId="65DE19B8" w14:textId="77777777" w:rsidR="000016AE" w:rsidRPr="00EC0B05" w:rsidRDefault="000016AE" w:rsidP="00DF4668">
            <w:pPr>
              <w:pStyle w:val="BodyText"/>
              <w:ind w:right="224"/>
              <w:contextualSpacing/>
              <w:rPr>
                <w:rFonts w:asciiTheme="minorHAnsi" w:eastAsiaTheme="minorHAnsi" w:hAnsiTheme="minorHAnsi" w:cstheme="minorBidi"/>
                <w:w w:val="110"/>
              </w:rPr>
            </w:pPr>
          </w:p>
          <w:p w14:paraId="148DA3C7" w14:textId="77777777" w:rsidR="000016AE" w:rsidRPr="00EC0B05" w:rsidRDefault="000016AE" w:rsidP="00471F7C">
            <w:pPr>
              <w:pStyle w:val="BodyText"/>
              <w:ind w:right="224"/>
              <w:contextualSpacing/>
              <w:rPr>
                <w:rFonts w:asciiTheme="minorHAnsi" w:eastAsiaTheme="minorHAnsi" w:hAnsiTheme="minorHAnsi" w:cstheme="minorBidi"/>
                <w:w w:val="110"/>
              </w:rPr>
            </w:pPr>
            <w:r w:rsidRPr="00EC0B05">
              <w:rPr>
                <w:rFonts w:asciiTheme="minorHAnsi" w:eastAsiaTheme="minorHAnsi" w:hAnsiTheme="minorHAnsi" w:cstheme="minorBidi"/>
                <w:w w:val="110"/>
              </w:rPr>
              <w:t>The total positive net rental amount is added to income for qualifying.  The total negative amount is added to the BDTI for qualifying.</w:t>
            </w:r>
            <w:r w:rsidRPr="00EC0B05">
              <w:rPr>
                <w:rFonts w:asciiTheme="minorHAnsi" w:eastAsiaTheme="minorHAnsi" w:hAnsiTheme="minorHAnsi" w:cstheme="minorBidi"/>
                <w:w w:val="110"/>
              </w:rPr>
              <w:tab/>
            </w:r>
            <w:r w:rsidRPr="00EC0B05">
              <w:rPr>
                <w:rFonts w:asciiTheme="minorHAnsi" w:eastAsiaTheme="minorHAnsi" w:hAnsiTheme="minorHAnsi" w:cstheme="minorBidi"/>
                <w:w w:val="110"/>
              </w:rPr>
              <w:tab/>
            </w:r>
            <w:r w:rsidRPr="00EC0B05">
              <w:rPr>
                <w:rFonts w:asciiTheme="minorHAnsi" w:eastAsiaTheme="minorHAnsi" w:hAnsiTheme="minorHAnsi" w:cstheme="minorBidi"/>
                <w:w w:val="110"/>
              </w:rPr>
              <w:tab/>
            </w:r>
          </w:p>
          <w:p w14:paraId="18D0CD68" w14:textId="5002CED8" w:rsidR="000016AE" w:rsidRPr="00EC0B05" w:rsidRDefault="000016AE">
            <w:pPr>
              <w:pStyle w:val="BodyText"/>
              <w:ind w:right="224"/>
              <w:contextualSpacing/>
              <w:rPr>
                <w:rFonts w:asciiTheme="minorHAnsi" w:eastAsiaTheme="minorHAnsi" w:hAnsiTheme="minorHAnsi" w:cstheme="minorBidi"/>
                <w:w w:val="110"/>
              </w:rPr>
            </w:pPr>
            <w:r w:rsidRPr="00EC0B05">
              <w:rPr>
                <w:rFonts w:asciiTheme="minorHAnsi" w:eastAsiaTheme="minorHAnsi" w:hAnsiTheme="minorHAnsi" w:cstheme="minorBidi"/>
                <w:w w:val="110"/>
              </w:rPr>
              <w:t xml:space="preserve">Borrowers with 5 or more rental properties, utilizing a reduced adjustment calculation must have at least 6 months of an aggregated net rental property loss (if applicable) </w:t>
            </w:r>
            <w:r w:rsidR="00361469" w:rsidRPr="00EC0B05">
              <w:rPr>
                <w:rFonts w:asciiTheme="minorHAnsi" w:eastAsiaTheme="minorHAnsi" w:hAnsiTheme="minorHAnsi" w:cstheme="minorBidi"/>
                <w:w w:val="110"/>
              </w:rPr>
              <w:t xml:space="preserve">as </w:t>
            </w:r>
            <w:r w:rsidRPr="00EC0B05">
              <w:rPr>
                <w:rFonts w:asciiTheme="minorHAnsi" w:eastAsiaTheme="minorHAnsi" w:hAnsiTheme="minorHAnsi" w:cstheme="minorBidi"/>
                <w:w w:val="110"/>
              </w:rPr>
              <w:t>a satisfactory level of reserves.  This amount is in addition to the required six months</w:t>
            </w:r>
            <w:r w:rsidR="00F55BC0">
              <w:rPr>
                <w:rFonts w:asciiTheme="minorHAnsi" w:eastAsiaTheme="minorHAnsi" w:hAnsiTheme="minorHAnsi" w:cstheme="minorBidi"/>
                <w:w w:val="110"/>
              </w:rPr>
              <w:t>’</w:t>
            </w:r>
            <w:r w:rsidRPr="00EC0B05">
              <w:rPr>
                <w:rFonts w:asciiTheme="minorHAnsi" w:eastAsiaTheme="minorHAnsi" w:hAnsiTheme="minorHAnsi" w:cstheme="minorBidi"/>
                <w:w w:val="110"/>
              </w:rPr>
              <w:t xml:space="preserve"> cash reserves of the subject property PITIA required.</w:t>
            </w:r>
          </w:p>
          <w:p w14:paraId="1D64C688" w14:textId="77777777" w:rsidR="000016AE" w:rsidRPr="00EC0B05" w:rsidRDefault="000016AE">
            <w:pPr>
              <w:pStyle w:val="BodyText"/>
              <w:ind w:right="224"/>
              <w:contextualSpacing/>
              <w:rPr>
                <w:rFonts w:asciiTheme="minorHAnsi" w:eastAsiaTheme="minorHAnsi" w:hAnsiTheme="minorHAnsi" w:cstheme="minorBidi"/>
                <w:w w:val="110"/>
              </w:rPr>
            </w:pPr>
          </w:p>
          <w:p w14:paraId="3E210847" w14:textId="77777777" w:rsidR="000016AE" w:rsidRPr="00EC0B05" w:rsidRDefault="000016AE">
            <w:pPr>
              <w:pStyle w:val="NormalWeb"/>
              <w:shd w:val="clear" w:color="auto" w:fill="FFFFFF"/>
              <w:spacing w:before="0" w:beforeAutospacing="0" w:after="0" w:afterAutospacing="0"/>
              <w:contextualSpacing/>
              <w:rPr>
                <w:rFonts w:asciiTheme="minorHAnsi" w:eastAsiaTheme="minorHAnsi" w:hAnsiTheme="minorHAnsi" w:cstheme="minorBidi"/>
                <w:w w:val="110"/>
                <w:sz w:val="21"/>
                <w:szCs w:val="21"/>
              </w:rPr>
            </w:pPr>
            <w:r w:rsidRPr="00EC0B05">
              <w:rPr>
                <w:rFonts w:asciiTheme="minorHAnsi" w:eastAsiaTheme="minorHAnsi" w:hAnsiTheme="minorHAnsi" w:cstheme="minorBidi"/>
                <w:w w:val="110"/>
                <w:sz w:val="21"/>
                <w:szCs w:val="21"/>
              </w:rPr>
              <w:t xml:space="preserve">If the property was in service for less than the full year, the rental income must be averaged over the number of months that the borrower used the property as a rental unit. </w:t>
            </w:r>
          </w:p>
          <w:p w14:paraId="73E23D4F" w14:textId="77777777" w:rsidR="00FF797A" w:rsidRPr="00EC0B05" w:rsidRDefault="00FF797A" w:rsidP="00DF4668">
            <w:pPr>
              <w:pStyle w:val="NormalWeb"/>
              <w:shd w:val="clear" w:color="auto" w:fill="FFFFFF"/>
              <w:spacing w:before="0" w:beforeAutospacing="0" w:after="0" w:afterAutospacing="0"/>
              <w:contextualSpacing/>
              <w:rPr>
                <w:rFonts w:asciiTheme="minorHAnsi" w:eastAsiaTheme="minorHAnsi" w:hAnsiTheme="minorHAnsi" w:cstheme="minorBidi"/>
                <w:w w:val="110"/>
                <w:sz w:val="21"/>
                <w:szCs w:val="21"/>
              </w:rPr>
            </w:pPr>
          </w:p>
          <w:p w14:paraId="5E868AEA" w14:textId="77777777" w:rsidR="000016AE" w:rsidRDefault="000016AE" w:rsidP="00471F7C">
            <w:pPr>
              <w:shd w:val="clear" w:color="auto" w:fill="FFFFFF"/>
              <w:ind w:right="175"/>
              <w:contextualSpacing/>
              <w:rPr>
                <w:w w:val="110"/>
                <w:sz w:val="21"/>
                <w:szCs w:val="21"/>
              </w:rPr>
            </w:pPr>
            <w:r w:rsidRPr="00EC0B05">
              <w:rPr>
                <w:w w:val="110"/>
                <w:sz w:val="21"/>
                <w:szCs w:val="21"/>
              </w:rPr>
              <w:t xml:space="preserve">When current lease agreements are utilized, the rental income is projected by multiplying the gross rent(s) by 75% to account for any vacancy losses and/or ongoing maintenance expenses.  If the resulting net cash flow is negative, it is added to the BDTI for qualifying.    </w:t>
            </w:r>
          </w:p>
          <w:p w14:paraId="6A8C220D" w14:textId="77777777" w:rsidR="00FF797A" w:rsidRDefault="00FF797A">
            <w:pPr>
              <w:shd w:val="clear" w:color="auto" w:fill="FFFFFF"/>
              <w:ind w:right="175"/>
              <w:contextualSpacing/>
              <w:rPr>
                <w:w w:val="110"/>
                <w:sz w:val="21"/>
                <w:szCs w:val="21"/>
              </w:rPr>
            </w:pPr>
          </w:p>
          <w:p w14:paraId="114C7273" w14:textId="14D0CF35" w:rsidR="00FF797A" w:rsidRPr="00EC0B05" w:rsidRDefault="00FF797A">
            <w:pPr>
              <w:shd w:val="clear" w:color="auto" w:fill="FFFFFF"/>
              <w:ind w:right="175"/>
              <w:contextualSpacing/>
              <w:rPr>
                <w:w w:val="110"/>
                <w:sz w:val="21"/>
                <w:szCs w:val="21"/>
              </w:rPr>
            </w:pPr>
            <w:r>
              <w:rPr>
                <w:w w:val="110"/>
                <w:sz w:val="21"/>
                <w:szCs w:val="21"/>
              </w:rPr>
              <w:t xml:space="preserve">Additionally, when the borrower does have a minimum of five properties, the supplemental SREO (found here: </w:t>
            </w:r>
            <w:hyperlink r:id="rId13" w:history="1">
              <w:r w:rsidR="002D1DA1" w:rsidRPr="00FD575A">
                <w:rPr>
                  <w:rStyle w:val="Hyperlink"/>
                </w:rPr>
                <w:t>https://www.axosbank.com/lending/third-party-lending/forms</w:t>
              </w:r>
            </w:hyperlink>
            <w:r>
              <w:t>) must be filled out.</w:t>
            </w:r>
          </w:p>
        </w:tc>
      </w:tr>
      <w:tr w:rsidR="00EC0B05" w:rsidRPr="00EC0B05" w14:paraId="44A3FB96" w14:textId="77777777" w:rsidTr="0063752F">
        <w:tc>
          <w:tcPr>
            <w:tcW w:w="1336" w:type="pct"/>
          </w:tcPr>
          <w:p w14:paraId="7BED29C5" w14:textId="77777777" w:rsidR="000016AE" w:rsidRPr="00EC0B05" w:rsidRDefault="000016AE" w:rsidP="00471F7C">
            <w:pPr>
              <w:rPr>
                <w:b/>
                <w:sz w:val="21"/>
                <w:szCs w:val="21"/>
              </w:rPr>
            </w:pPr>
            <w:bookmarkStart w:id="92" w:name="rental_pmts"/>
            <w:r w:rsidRPr="00EC0B05">
              <w:rPr>
                <w:b/>
                <w:sz w:val="21"/>
                <w:szCs w:val="21"/>
              </w:rPr>
              <w:lastRenderedPageBreak/>
              <w:t>Rental Payments</w:t>
            </w:r>
            <w:bookmarkEnd w:id="92"/>
          </w:p>
        </w:tc>
        <w:tc>
          <w:tcPr>
            <w:tcW w:w="3664" w:type="pct"/>
          </w:tcPr>
          <w:p w14:paraId="5468697E" w14:textId="7CA56648" w:rsidR="000016AE" w:rsidRPr="00EC0B05" w:rsidRDefault="000016AE" w:rsidP="00F55BC0">
            <w:pPr>
              <w:contextualSpacing/>
              <w:rPr>
                <w:sz w:val="21"/>
                <w:szCs w:val="21"/>
              </w:rPr>
            </w:pPr>
            <w:r w:rsidRPr="00EC0B05">
              <w:rPr>
                <w:w w:val="110"/>
                <w:sz w:val="21"/>
                <w:szCs w:val="21"/>
              </w:rPr>
              <w:t>If the borrower pays rent instead of a mortgage payment, a minimum of the most recent six months of timely payment verification of rental history must be provided. If payment is made to a private party, twelve consecutive months cancelled checks, online printout from bill pay, or bank statements are required.</w:t>
            </w:r>
          </w:p>
        </w:tc>
      </w:tr>
      <w:tr w:rsidR="00EC0B05" w:rsidRPr="00EC0B05" w14:paraId="55930FA9" w14:textId="77777777" w:rsidTr="0063752F">
        <w:tc>
          <w:tcPr>
            <w:tcW w:w="1336" w:type="pct"/>
          </w:tcPr>
          <w:p w14:paraId="61F78A26" w14:textId="77777777" w:rsidR="000016AE" w:rsidRPr="00EC0B05" w:rsidRDefault="000016AE" w:rsidP="00471F7C">
            <w:pPr>
              <w:rPr>
                <w:b/>
                <w:sz w:val="21"/>
                <w:szCs w:val="21"/>
              </w:rPr>
            </w:pPr>
            <w:bookmarkStart w:id="93" w:name="reserve_reqs"/>
            <w:r w:rsidRPr="00EC0B05">
              <w:rPr>
                <w:b/>
                <w:sz w:val="21"/>
                <w:szCs w:val="21"/>
              </w:rPr>
              <w:t>Reserve Requirements</w:t>
            </w:r>
            <w:bookmarkEnd w:id="93"/>
          </w:p>
        </w:tc>
        <w:tc>
          <w:tcPr>
            <w:tcW w:w="3664" w:type="pct"/>
          </w:tcPr>
          <w:p w14:paraId="076154B8" w14:textId="5B7D2311" w:rsidR="000016AE" w:rsidRDefault="000016AE">
            <w:pPr>
              <w:rPr>
                <w:sz w:val="21"/>
                <w:szCs w:val="21"/>
              </w:rPr>
            </w:pPr>
            <w:r w:rsidRPr="00EC0B05">
              <w:rPr>
                <w:sz w:val="21"/>
                <w:szCs w:val="21"/>
              </w:rPr>
              <w:t>Minimum 6 months of principal</w:t>
            </w:r>
            <w:r w:rsidR="00593756">
              <w:rPr>
                <w:sz w:val="21"/>
                <w:szCs w:val="21"/>
              </w:rPr>
              <w:t xml:space="preserve"> and</w:t>
            </w:r>
            <w:r w:rsidRPr="00EC0B05">
              <w:rPr>
                <w:sz w:val="21"/>
                <w:szCs w:val="21"/>
              </w:rPr>
              <w:t xml:space="preserve"> interest</w:t>
            </w:r>
            <w:r w:rsidR="00593756">
              <w:rPr>
                <w:sz w:val="21"/>
                <w:szCs w:val="21"/>
              </w:rPr>
              <w:t xml:space="preserve"> based on the qualification rate</w:t>
            </w:r>
            <w:r w:rsidRPr="00EC0B05">
              <w:rPr>
                <w:sz w:val="21"/>
                <w:szCs w:val="21"/>
              </w:rPr>
              <w:t>, taxes, insurance</w:t>
            </w:r>
            <w:r w:rsidR="00593756">
              <w:rPr>
                <w:sz w:val="21"/>
                <w:szCs w:val="21"/>
              </w:rPr>
              <w:t>,</w:t>
            </w:r>
            <w:r w:rsidRPr="00EC0B05">
              <w:rPr>
                <w:sz w:val="21"/>
                <w:szCs w:val="21"/>
              </w:rPr>
              <w:t xml:space="preserve"> and applicable HOA dues on the subject property is required.</w:t>
            </w:r>
          </w:p>
          <w:p w14:paraId="3BFBC7D9" w14:textId="77777777" w:rsidR="00B05ABD" w:rsidRDefault="00B05ABD">
            <w:pPr>
              <w:rPr>
                <w:sz w:val="21"/>
                <w:szCs w:val="21"/>
              </w:rPr>
            </w:pPr>
          </w:p>
          <w:p w14:paraId="452EA1BB" w14:textId="66E80C9F" w:rsidR="00B05ABD" w:rsidRDefault="00B05ABD">
            <w:pPr>
              <w:rPr>
                <w:sz w:val="21"/>
                <w:szCs w:val="21"/>
              </w:rPr>
            </w:pPr>
            <w:r>
              <w:rPr>
                <w:sz w:val="21"/>
                <w:szCs w:val="21"/>
              </w:rPr>
              <w:t>The reserve requirement may be greater in the following scenarios:</w:t>
            </w:r>
          </w:p>
          <w:p w14:paraId="19103195" w14:textId="5E8C7DDC" w:rsidR="00B05ABD" w:rsidRDefault="00B05ABD" w:rsidP="00A8756A">
            <w:pPr>
              <w:pStyle w:val="ListParagraph"/>
              <w:numPr>
                <w:ilvl w:val="0"/>
                <w:numId w:val="69"/>
              </w:numPr>
              <w:rPr>
                <w:sz w:val="21"/>
                <w:szCs w:val="21"/>
              </w:rPr>
            </w:pPr>
            <w:r>
              <w:rPr>
                <w:sz w:val="21"/>
                <w:szCs w:val="21"/>
              </w:rPr>
              <w:t>Loans to NRA borrowers</w:t>
            </w:r>
            <w:r w:rsidR="00593756">
              <w:rPr>
                <w:sz w:val="21"/>
                <w:szCs w:val="21"/>
              </w:rPr>
              <w:t xml:space="preserve"> (12 months total required)</w:t>
            </w:r>
            <w:r>
              <w:rPr>
                <w:sz w:val="21"/>
                <w:szCs w:val="21"/>
              </w:rPr>
              <w:t>;</w:t>
            </w:r>
          </w:p>
          <w:p w14:paraId="5CFE76A2" w14:textId="4EC54926" w:rsidR="00B05ABD" w:rsidRDefault="00B05ABD" w:rsidP="00A8756A">
            <w:pPr>
              <w:pStyle w:val="ListParagraph"/>
              <w:numPr>
                <w:ilvl w:val="0"/>
                <w:numId w:val="69"/>
              </w:numPr>
              <w:rPr>
                <w:sz w:val="21"/>
                <w:szCs w:val="21"/>
              </w:rPr>
            </w:pPr>
            <w:r>
              <w:rPr>
                <w:sz w:val="21"/>
                <w:szCs w:val="21"/>
              </w:rPr>
              <w:t>Loans utilizing Asset Depletion</w:t>
            </w:r>
            <w:r w:rsidR="00593756">
              <w:rPr>
                <w:sz w:val="21"/>
                <w:szCs w:val="21"/>
              </w:rPr>
              <w:t xml:space="preserve"> (12 months total required)</w:t>
            </w:r>
            <w:r>
              <w:rPr>
                <w:sz w:val="21"/>
                <w:szCs w:val="21"/>
              </w:rPr>
              <w:t>;</w:t>
            </w:r>
          </w:p>
          <w:p w14:paraId="6F390F98" w14:textId="6810C290" w:rsidR="00B05ABD" w:rsidRDefault="00B05ABD" w:rsidP="00A8756A">
            <w:pPr>
              <w:pStyle w:val="ListParagraph"/>
              <w:numPr>
                <w:ilvl w:val="0"/>
                <w:numId w:val="69"/>
              </w:numPr>
              <w:rPr>
                <w:sz w:val="21"/>
                <w:szCs w:val="21"/>
              </w:rPr>
            </w:pPr>
            <w:r>
              <w:rPr>
                <w:sz w:val="21"/>
                <w:szCs w:val="21"/>
              </w:rPr>
              <w:t>Loans where the payments on a property pending sale are being omitted from the DTI calculation</w:t>
            </w:r>
            <w:r w:rsidR="00593756">
              <w:rPr>
                <w:sz w:val="21"/>
                <w:szCs w:val="21"/>
              </w:rPr>
              <w:t xml:space="preserve"> (6 months of </w:t>
            </w:r>
            <w:r w:rsidR="00FB47EF">
              <w:rPr>
                <w:sz w:val="21"/>
                <w:szCs w:val="21"/>
              </w:rPr>
              <w:t>new loan PITIA</w:t>
            </w:r>
            <w:r w:rsidR="00477402">
              <w:rPr>
                <w:sz w:val="21"/>
                <w:szCs w:val="21"/>
              </w:rPr>
              <w:t>, plus</w:t>
            </w:r>
            <w:r w:rsidR="00FB47EF">
              <w:rPr>
                <w:sz w:val="21"/>
                <w:szCs w:val="21"/>
              </w:rPr>
              <w:t xml:space="preserve"> 6 months of the property pending sale PITIA</w:t>
            </w:r>
            <w:r w:rsidR="00F84E6E">
              <w:rPr>
                <w:sz w:val="21"/>
                <w:szCs w:val="21"/>
              </w:rPr>
              <w:t>—total of 12 months—</w:t>
            </w:r>
            <w:r w:rsidR="00FB47EF">
              <w:rPr>
                <w:sz w:val="21"/>
                <w:szCs w:val="21"/>
              </w:rPr>
              <w:t>required);</w:t>
            </w:r>
          </w:p>
          <w:p w14:paraId="16E7E412" w14:textId="075E5235" w:rsidR="00FB47EF" w:rsidRPr="00FB47EF" w:rsidRDefault="00FB47EF" w:rsidP="00A8756A">
            <w:pPr>
              <w:pStyle w:val="ListParagraph"/>
              <w:numPr>
                <w:ilvl w:val="0"/>
                <w:numId w:val="69"/>
              </w:numPr>
              <w:rPr>
                <w:sz w:val="21"/>
                <w:szCs w:val="21"/>
              </w:rPr>
            </w:pPr>
            <w:r>
              <w:rPr>
                <w:sz w:val="21"/>
                <w:szCs w:val="21"/>
              </w:rPr>
              <w:t xml:space="preserve">When underwriting 5 or more rental </w:t>
            </w:r>
            <w:r w:rsidRPr="00FB47EF">
              <w:rPr>
                <w:sz w:val="21"/>
                <w:szCs w:val="21"/>
              </w:rPr>
              <w:t xml:space="preserve">properties, 6 </w:t>
            </w:r>
            <w:r w:rsidR="00477402">
              <w:rPr>
                <w:sz w:val="21"/>
                <w:szCs w:val="21"/>
              </w:rPr>
              <w:t xml:space="preserve">months of the new loan PITIA plus </w:t>
            </w:r>
            <w:r w:rsidRPr="00FB47EF">
              <w:rPr>
                <w:w w:val="110"/>
                <w:sz w:val="21"/>
                <w:szCs w:val="21"/>
              </w:rPr>
              <w:t>at least 6 months of an aggregated net rental property loss (if applicable)</w:t>
            </w:r>
            <w:r w:rsidR="00477402">
              <w:rPr>
                <w:w w:val="110"/>
                <w:sz w:val="21"/>
                <w:szCs w:val="21"/>
              </w:rPr>
              <w:t>—total of 12—required</w:t>
            </w:r>
            <w:r>
              <w:rPr>
                <w:w w:val="110"/>
                <w:sz w:val="21"/>
                <w:szCs w:val="21"/>
              </w:rPr>
              <w:t>;</w:t>
            </w:r>
          </w:p>
          <w:p w14:paraId="707BB9C8" w14:textId="2C3BECBD" w:rsidR="00FB47EF" w:rsidRPr="00B05ABD" w:rsidRDefault="00FB47EF" w:rsidP="00A8756A">
            <w:pPr>
              <w:pStyle w:val="ListParagraph"/>
              <w:numPr>
                <w:ilvl w:val="0"/>
                <w:numId w:val="69"/>
              </w:numPr>
              <w:rPr>
                <w:sz w:val="21"/>
                <w:szCs w:val="21"/>
              </w:rPr>
            </w:pPr>
            <w:r>
              <w:rPr>
                <w:sz w:val="21"/>
                <w:szCs w:val="21"/>
              </w:rPr>
              <w:t>When there is no down payment on a purchase transaction utilizing cross collateralization, 12 months of reserves are required.</w:t>
            </w:r>
          </w:p>
        </w:tc>
      </w:tr>
      <w:tr w:rsidR="00EC0B05" w:rsidRPr="00EC0B05" w14:paraId="74C2957D" w14:textId="77777777" w:rsidTr="0063752F">
        <w:tc>
          <w:tcPr>
            <w:tcW w:w="1336" w:type="pct"/>
          </w:tcPr>
          <w:p w14:paraId="05CCB6B7" w14:textId="2919FC25" w:rsidR="000016AE" w:rsidRPr="00EC0B05" w:rsidRDefault="000016AE" w:rsidP="00471F7C">
            <w:pPr>
              <w:rPr>
                <w:b/>
                <w:sz w:val="21"/>
                <w:szCs w:val="21"/>
              </w:rPr>
            </w:pPr>
            <w:bookmarkStart w:id="94" w:name="retire_accts"/>
            <w:r w:rsidRPr="00EC0B05">
              <w:rPr>
                <w:b/>
                <w:sz w:val="21"/>
                <w:szCs w:val="21"/>
              </w:rPr>
              <w:t>Retirement Accounts</w:t>
            </w:r>
            <w:bookmarkEnd w:id="94"/>
          </w:p>
        </w:tc>
        <w:tc>
          <w:tcPr>
            <w:tcW w:w="3664" w:type="pct"/>
          </w:tcPr>
          <w:p w14:paraId="198A48AC" w14:textId="77777777" w:rsidR="000016AE" w:rsidRPr="00EC0B05" w:rsidRDefault="000016AE" w:rsidP="00F55BC0">
            <w:pPr>
              <w:pStyle w:val="BodyText"/>
              <w:tabs>
                <w:tab w:val="left" w:pos="3005"/>
              </w:tabs>
              <w:kinsoku w:val="0"/>
              <w:overflowPunct w:val="0"/>
              <w:rPr>
                <w:rFonts w:asciiTheme="minorHAnsi" w:eastAsiaTheme="minorHAnsi" w:hAnsiTheme="minorHAnsi" w:cstheme="minorBidi"/>
                <w:w w:val="105"/>
              </w:rPr>
            </w:pPr>
            <w:r w:rsidRPr="00EC0B05">
              <w:rPr>
                <w:rFonts w:asciiTheme="minorHAnsi" w:eastAsiaTheme="minorHAnsi" w:hAnsiTheme="minorHAnsi" w:cstheme="minorBidi"/>
                <w:w w:val="105"/>
              </w:rPr>
              <w:t xml:space="preserve">The most recent statements are required.  This may be monthly or quarterly.  The </w:t>
            </w:r>
            <w:r w:rsidRPr="00EC0B05">
              <w:rPr>
                <w:rFonts w:asciiTheme="minorHAnsi" w:eastAsiaTheme="minorHAnsi" w:hAnsiTheme="minorHAnsi" w:cstheme="minorBidi"/>
                <w:w w:val="105"/>
              </w:rPr>
              <w:lastRenderedPageBreak/>
              <w:t>statements should reflect:</w:t>
            </w:r>
          </w:p>
          <w:p w14:paraId="6912BF2E" w14:textId="77777777" w:rsidR="000016AE" w:rsidRPr="00EC0B05" w:rsidRDefault="000016AE" w:rsidP="00DF4668">
            <w:pPr>
              <w:pStyle w:val="BodyText"/>
              <w:numPr>
                <w:ilvl w:val="0"/>
                <w:numId w:val="5"/>
              </w:numPr>
              <w:kinsoku w:val="0"/>
              <w:overflowPunct w:val="0"/>
              <w:spacing w:before="36"/>
              <w:ind w:right="149"/>
              <w:rPr>
                <w:rFonts w:asciiTheme="minorHAnsi" w:eastAsiaTheme="minorHAnsi" w:hAnsiTheme="minorHAnsi" w:cstheme="minorBidi"/>
                <w:w w:val="105"/>
              </w:rPr>
            </w:pPr>
            <w:r w:rsidRPr="00EC0B05">
              <w:rPr>
                <w:rFonts w:asciiTheme="minorHAnsi" w:eastAsiaTheme="minorHAnsi" w:hAnsiTheme="minorHAnsi" w:cstheme="minorBidi"/>
                <w:w w:val="105"/>
              </w:rPr>
              <w:t xml:space="preserve">The borrower's vested amount as well as the terms. </w:t>
            </w:r>
          </w:p>
          <w:p w14:paraId="0F3D399B" w14:textId="77777777" w:rsidR="000016AE" w:rsidRPr="00EC0B05" w:rsidRDefault="000016AE" w:rsidP="00DF4668">
            <w:pPr>
              <w:pStyle w:val="BodyText"/>
              <w:numPr>
                <w:ilvl w:val="0"/>
                <w:numId w:val="5"/>
              </w:numPr>
              <w:kinsoku w:val="0"/>
              <w:overflowPunct w:val="0"/>
              <w:spacing w:before="36"/>
              <w:ind w:right="149"/>
              <w:rPr>
                <w:rFonts w:asciiTheme="minorHAnsi" w:eastAsiaTheme="minorHAnsi" w:hAnsiTheme="minorHAnsi" w:cstheme="minorBidi"/>
                <w:w w:val="105"/>
              </w:rPr>
            </w:pPr>
            <w:r w:rsidRPr="00EC0B05">
              <w:rPr>
                <w:rFonts w:asciiTheme="minorHAnsi" w:eastAsiaTheme="minorHAnsi" w:hAnsiTheme="minorHAnsi" w:cstheme="minorBidi"/>
                <w:w w:val="105"/>
              </w:rPr>
              <w:t>Documents that are faxed or downloaded from the Internet should clearly identify the name of the depository or investment institution and the source of information (e.g. the information in the Internet or fax banner is at the top of the document).</w:t>
            </w:r>
          </w:p>
          <w:p w14:paraId="3AD7A662" w14:textId="77777777" w:rsidR="000016AE" w:rsidRPr="00EC0B05" w:rsidRDefault="000016AE" w:rsidP="00DF4668">
            <w:pPr>
              <w:pStyle w:val="BodyText"/>
              <w:numPr>
                <w:ilvl w:val="0"/>
                <w:numId w:val="5"/>
              </w:numPr>
              <w:kinsoku w:val="0"/>
              <w:overflowPunct w:val="0"/>
              <w:spacing w:before="7"/>
              <w:ind w:right="149"/>
              <w:rPr>
                <w:rFonts w:asciiTheme="minorHAnsi" w:eastAsiaTheme="minorHAnsi" w:hAnsiTheme="minorHAnsi" w:cstheme="minorBidi"/>
                <w:w w:val="105"/>
              </w:rPr>
            </w:pPr>
            <w:r w:rsidRPr="00EC0B05">
              <w:rPr>
                <w:rFonts w:asciiTheme="minorHAnsi" w:eastAsiaTheme="minorHAnsi" w:hAnsiTheme="minorHAnsi" w:cstheme="minorBidi"/>
                <w:w w:val="105"/>
              </w:rPr>
              <w:t xml:space="preserve">Any borrowed funds should be reduced from liquid asset calculation.  </w:t>
            </w:r>
          </w:p>
          <w:p w14:paraId="7E16C47B" w14:textId="103C98F8" w:rsidR="000016AE" w:rsidRPr="00EC0B05" w:rsidRDefault="000016AE" w:rsidP="00471F7C">
            <w:pPr>
              <w:contextualSpacing/>
              <w:rPr>
                <w:w w:val="105"/>
                <w:sz w:val="21"/>
                <w:szCs w:val="21"/>
              </w:rPr>
            </w:pPr>
            <w:r w:rsidRPr="00EC0B05">
              <w:rPr>
                <w:w w:val="105"/>
                <w:sz w:val="21"/>
                <w:szCs w:val="21"/>
              </w:rPr>
              <w:t>The ownership of the accounts must be verified</w:t>
            </w:r>
            <w:r w:rsidR="003074B2">
              <w:rPr>
                <w:w w:val="105"/>
                <w:sz w:val="21"/>
                <w:szCs w:val="21"/>
              </w:rPr>
              <w:t>.</w:t>
            </w:r>
          </w:p>
          <w:p w14:paraId="4A7C9C71" w14:textId="77777777" w:rsidR="000016AE" w:rsidRPr="00EC0B05" w:rsidRDefault="000016AE" w:rsidP="00DF4668">
            <w:pPr>
              <w:contextualSpacing/>
              <w:rPr>
                <w:w w:val="105"/>
                <w:sz w:val="21"/>
                <w:szCs w:val="21"/>
              </w:rPr>
            </w:pPr>
          </w:p>
          <w:p w14:paraId="298A7B56" w14:textId="77777777" w:rsidR="000016AE" w:rsidRPr="00EC0B05" w:rsidRDefault="000016AE" w:rsidP="00DF4668">
            <w:pPr>
              <w:contextualSpacing/>
              <w:rPr>
                <w:w w:val="105"/>
                <w:sz w:val="21"/>
                <w:szCs w:val="21"/>
              </w:rPr>
            </w:pPr>
            <w:r w:rsidRPr="00EC0B05">
              <w:rPr>
                <w:w w:val="105"/>
                <w:sz w:val="21"/>
                <w:szCs w:val="21"/>
              </w:rPr>
              <w:t>When funds from retirement accounts are used for reserves, it is not required the funds are liquidated.  If the retirement assets are in the form of stocks, bonds, or mutual funds, the account should be discounted by 30% for potential tax liability.  In addition, if the borrower is not at retirement age (typically 59 ½) and will be assessed an early withdrawal penalty, that penalty (10% unless confirmed otherwise) should be added to the discount for a total discount of 40%.  If the borrower is at or above retirement age, the additional 10% penalty need not be applied.</w:t>
            </w:r>
          </w:p>
          <w:p w14:paraId="619A3A7C" w14:textId="77777777" w:rsidR="000016AE" w:rsidRPr="00EC0B05" w:rsidRDefault="000016AE" w:rsidP="00DF4668">
            <w:pPr>
              <w:pStyle w:val="BodyText"/>
              <w:kinsoku w:val="0"/>
              <w:overflowPunct w:val="0"/>
              <w:ind w:right="116"/>
              <w:rPr>
                <w:rFonts w:asciiTheme="minorHAnsi" w:hAnsiTheme="minorHAnsi"/>
                <w:spacing w:val="3"/>
                <w:w w:val="105"/>
              </w:rPr>
            </w:pPr>
            <w:r w:rsidRPr="00EC0B05">
              <w:rPr>
                <w:rFonts w:asciiTheme="minorHAnsi" w:eastAsiaTheme="minorHAnsi" w:hAnsiTheme="minorHAnsi" w:cstheme="minorBidi"/>
                <w:w w:val="105"/>
              </w:rPr>
              <w:t>To be considered as effective reserves, retirement accounts should be vested and allow for withdrawals regardless of current employment status.</w:t>
            </w:r>
          </w:p>
        </w:tc>
      </w:tr>
      <w:tr w:rsidR="00EC0B05" w:rsidRPr="00EC0B05" w14:paraId="18AE3BAE" w14:textId="77777777" w:rsidTr="0063752F">
        <w:tc>
          <w:tcPr>
            <w:tcW w:w="1336" w:type="pct"/>
          </w:tcPr>
          <w:p w14:paraId="67EDD292" w14:textId="77777777" w:rsidR="000016AE" w:rsidRPr="00EC0B05" w:rsidRDefault="000016AE" w:rsidP="00471F7C">
            <w:pPr>
              <w:rPr>
                <w:b/>
                <w:sz w:val="21"/>
                <w:szCs w:val="21"/>
              </w:rPr>
            </w:pPr>
            <w:bookmarkStart w:id="95" w:name="revolving_debt"/>
            <w:r w:rsidRPr="00EC0B05">
              <w:rPr>
                <w:b/>
                <w:sz w:val="21"/>
                <w:szCs w:val="21"/>
              </w:rPr>
              <w:lastRenderedPageBreak/>
              <w:t>Revolving Debt</w:t>
            </w:r>
            <w:bookmarkEnd w:id="95"/>
          </w:p>
        </w:tc>
        <w:tc>
          <w:tcPr>
            <w:tcW w:w="3664" w:type="pct"/>
          </w:tcPr>
          <w:p w14:paraId="29B4161D" w14:textId="77777777" w:rsidR="000016AE" w:rsidRPr="00EC0B05" w:rsidRDefault="000016AE">
            <w:pPr>
              <w:contextualSpacing/>
              <w:rPr>
                <w:w w:val="110"/>
                <w:sz w:val="21"/>
                <w:szCs w:val="21"/>
              </w:rPr>
            </w:pPr>
            <w:r w:rsidRPr="00EC0B05">
              <w:rPr>
                <w:w w:val="110"/>
                <w:sz w:val="21"/>
                <w:szCs w:val="21"/>
              </w:rPr>
              <w:t>If no monthly payment is indicated or if other forms of verification are not provided, payments of five percent (5%) of the outstanding principal balance on the account will be projected.  In any case, the monthly payment utilized in calculating the BDTI ratio should be the greater of the payment, as listed on the credit report (or other form of verification) or five percent (5%) of the outstanding principal balance.</w:t>
            </w:r>
          </w:p>
          <w:p w14:paraId="7CC11FA9" w14:textId="77777777" w:rsidR="000016AE" w:rsidRPr="00EC0B05" w:rsidRDefault="000016AE">
            <w:pPr>
              <w:contextualSpacing/>
              <w:rPr>
                <w:w w:val="110"/>
                <w:sz w:val="21"/>
                <w:szCs w:val="21"/>
              </w:rPr>
            </w:pPr>
          </w:p>
          <w:p w14:paraId="17E8A164" w14:textId="77777777" w:rsidR="000016AE" w:rsidRPr="00EC0B05" w:rsidRDefault="000016AE">
            <w:pPr>
              <w:contextualSpacing/>
              <w:rPr>
                <w:w w:val="110"/>
                <w:sz w:val="21"/>
                <w:szCs w:val="21"/>
              </w:rPr>
            </w:pPr>
            <w:r w:rsidRPr="00EC0B05">
              <w:rPr>
                <w:w w:val="110"/>
                <w:sz w:val="21"/>
                <w:szCs w:val="21"/>
              </w:rPr>
              <w:t>Pay-downs to less than 10 months are not allowed on revolving credit simply to avoid inclusion of the debt in the BDTI ratio; however, revolving credit can be paid in full to exclude the payments (these accounts do not need to be closed.)  Revolving credit with minimal balances are not included in the ratios.</w:t>
            </w:r>
          </w:p>
          <w:p w14:paraId="52842AB4" w14:textId="77777777" w:rsidR="000016AE" w:rsidRPr="00EC0B05" w:rsidRDefault="000016AE">
            <w:pPr>
              <w:contextualSpacing/>
              <w:rPr>
                <w:w w:val="110"/>
                <w:sz w:val="21"/>
                <w:szCs w:val="21"/>
              </w:rPr>
            </w:pPr>
          </w:p>
          <w:p w14:paraId="33673021" w14:textId="77777777" w:rsidR="000016AE" w:rsidRPr="00EC0B05" w:rsidRDefault="000016AE">
            <w:pPr>
              <w:autoSpaceDE w:val="0"/>
              <w:autoSpaceDN w:val="0"/>
              <w:adjustRightInd w:val="0"/>
              <w:contextualSpacing/>
              <w:rPr>
                <w:w w:val="110"/>
                <w:sz w:val="21"/>
                <w:szCs w:val="21"/>
              </w:rPr>
            </w:pPr>
            <w:r w:rsidRPr="00EC0B05">
              <w:rPr>
                <w:w w:val="110"/>
                <w:sz w:val="21"/>
                <w:szCs w:val="21"/>
              </w:rPr>
              <w:t>A borrower that demonstrates a continued ability to payoff revolving balances on a monthly basis with requisite additional reserves present per underwriter discretion may remove the payment for these accounts (Note: The Underwriter will review the Trended Credit on the Credit Report to justify the demonstrated continued ability to payoff revolving balances on a monthly basis).</w:t>
            </w:r>
          </w:p>
        </w:tc>
      </w:tr>
      <w:tr w:rsidR="00EC0B05" w:rsidRPr="00EC0B05" w14:paraId="29756669" w14:textId="77777777" w:rsidTr="0063752F">
        <w:tc>
          <w:tcPr>
            <w:tcW w:w="1336" w:type="pct"/>
          </w:tcPr>
          <w:p w14:paraId="6F3445F2" w14:textId="77777777" w:rsidR="000016AE" w:rsidRPr="00EC0B05" w:rsidRDefault="000016AE" w:rsidP="00471F7C">
            <w:pPr>
              <w:rPr>
                <w:b/>
                <w:w w:val="110"/>
                <w:sz w:val="21"/>
                <w:szCs w:val="21"/>
              </w:rPr>
            </w:pPr>
            <w:bookmarkStart w:id="96" w:name="royalty_inc"/>
            <w:r w:rsidRPr="00EC0B05">
              <w:rPr>
                <w:b/>
                <w:w w:val="110"/>
                <w:sz w:val="21"/>
                <w:szCs w:val="21"/>
              </w:rPr>
              <w:t>Royalty Income</w:t>
            </w:r>
            <w:bookmarkEnd w:id="96"/>
          </w:p>
        </w:tc>
        <w:tc>
          <w:tcPr>
            <w:tcW w:w="3664" w:type="pct"/>
          </w:tcPr>
          <w:p w14:paraId="3C7F09DC" w14:textId="77777777" w:rsidR="00325FDB" w:rsidRDefault="000016AE">
            <w:pPr>
              <w:pStyle w:val="Heading3"/>
              <w:tabs>
                <w:tab w:val="left" w:pos="2430"/>
                <w:tab w:val="left" w:pos="2610"/>
              </w:tabs>
              <w:spacing w:before="0"/>
              <w:contextualSpacing/>
              <w:rPr>
                <w:rFonts w:asciiTheme="minorHAnsi" w:eastAsiaTheme="minorHAnsi" w:hAnsiTheme="minorHAnsi" w:cstheme="minorBidi"/>
                <w:color w:val="auto"/>
                <w:w w:val="110"/>
                <w:sz w:val="21"/>
                <w:szCs w:val="21"/>
              </w:rPr>
            </w:pPr>
            <w:r w:rsidRPr="00EC0B05">
              <w:rPr>
                <w:rFonts w:asciiTheme="minorHAnsi" w:eastAsiaTheme="minorHAnsi" w:hAnsiTheme="minorHAnsi" w:cstheme="minorBidi"/>
                <w:color w:val="auto"/>
                <w:w w:val="110"/>
                <w:sz w:val="21"/>
                <w:szCs w:val="21"/>
              </w:rPr>
              <w:t xml:space="preserve">Royalty payment verification requirements are the same as with rental income, and can be found on IRS form 1040 Schedule E.  Typically, documentation of at least 12 months of payments is needed for the income to be considered.  </w:t>
            </w:r>
          </w:p>
          <w:p w14:paraId="460D4179" w14:textId="77777777" w:rsidR="00325FDB" w:rsidRDefault="00325FDB">
            <w:pPr>
              <w:pStyle w:val="Heading3"/>
              <w:tabs>
                <w:tab w:val="left" w:pos="2430"/>
                <w:tab w:val="left" w:pos="2610"/>
              </w:tabs>
              <w:spacing w:before="0"/>
              <w:contextualSpacing/>
              <w:rPr>
                <w:rFonts w:asciiTheme="minorHAnsi" w:eastAsiaTheme="minorHAnsi" w:hAnsiTheme="minorHAnsi" w:cstheme="minorBidi"/>
                <w:color w:val="auto"/>
                <w:w w:val="110"/>
                <w:sz w:val="21"/>
                <w:szCs w:val="21"/>
              </w:rPr>
            </w:pPr>
          </w:p>
          <w:p w14:paraId="436C368C" w14:textId="70AA084C" w:rsidR="000016AE" w:rsidRPr="00D35107" w:rsidRDefault="000016AE">
            <w:pPr>
              <w:pStyle w:val="Heading3"/>
              <w:tabs>
                <w:tab w:val="left" w:pos="2430"/>
                <w:tab w:val="left" w:pos="2610"/>
              </w:tabs>
              <w:spacing w:before="0"/>
              <w:contextualSpacing/>
              <w:rPr>
                <w:rFonts w:asciiTheme="minorHAnsi" w:eastAsiaTheme="minorHAnsi" w:hAnsiTheme="minorHAnsi" w:cstheme="minorBidi"/>
                <w:color w:val="auto"/>
                <w:w w:val="110"/>
                <w:sz w:val="21"/>
                <w:szCs w:val="21"/>
              </w:rPr>
            </w:pPr>
            <w:r w:rsidRPr="00EC0B05">
              <w:rPr>
                <w:rFonts w:asciiTheme="minorHAnsi" w:eastAsiaTheme="minorHAnsi" w:hAnsiTheme="minorHAnsi" w:cstheme="minorBidi"/>
                <w:color w:val="auto"/>
                <w:w w:val="110"/>
                <w:sz w:val="21"/>
                <w:szCs w:val="21"/>
              </w:rPr>
              <w:t xml:space="preserve">Any royalties received for fewer than 12 months will require further analysis prior to being included in qualifying income.   The source of the royalty and its likelihood of continuance </w:t>
            </w:r>
            <w:r w:rsidR="00946F74" w:rsidRPr="00EC0B05">
              <w:rPr>
                <w:rFonts w:asciiTheme="minorHAnsi" w:eastAsiaTheme="minorHAnsi" w:hAnsiTheme="minorHAnsi" w:cstheme="minorBidi"/>
                <w:color w:val="auto"/>
                <w:w w:val="110"/>
                <w:sz w:val="21"/>
                <w:szCs w:val="21"/>
              </w:rPr>
              <w:t xml:space="preserve">for 36 months </w:t>
            </w:r>
            <w:r w:rsidRPr="00EC0B05">
              <w:rPr>
                <w:rFonts w:asciiTheme="minorHAnsi" w:eastAsiaTheme="minorHAnsi" w:hAnsiTheme="minorHAnsi" w:cstheme="minorBidi"/>
                <w:color w:val="auto"/>
                <w:w w:val="110"/>
                <w:sz w:val="21"/>
                <w:szCs w:val="21"/>
              </w:rPr>
              <w:t>should be re</w:t>
            </w:r>
            <w:r w:rsidR="00D35107">
              <w:rPr>
                <w:rFonts w:asciiTheme="minorHAnsi" w:eastAsiaTheme="minorHAnsi" w:hAnsiTheme="minorHAnsi" w:cstheme="minorBidi"/>
                <w:color w:val="auto"/>
                <w:w w:val="110"/>
                <w:sz w:val="21"/>
                <w:szCs w:val="21"/>
              </w:rPr>
              <w:t xml:space="preserve">asonable and well-documented.  </w:t>
            </w:r>
          </w:p>
        </w:tc>
      </w:tr>
      <w:tr w:rsidR="00EC0B05" w:rsidRPr="00EC0B05" w14:paraId="37B9EFD8" w14:textId="77777777" w:rsidTr="0063752F">
        <w:tc>
          <w:tcPr>
            <w:tcW w:w="1336" w:type="pct"/>
          </w:tcPr>
          <w:p w14:paraId="17E6A3E9" w14:textId="77777777" w:rsidR="000016AE" w:rsidRPr="00EC0B05" w:rsidRDefault="000016AE" w:rsidP="00471F7C">
            <w:pPr>
              <w:rPr>
                <w:b/>
                <w:sz w:val="21"/>
                <w:szCs w:val="21"/>
              </w:rPr>
            </w:pPr>
            <w:bookmarkStart w:id="97" w:name="rural_prop"/>
            <w:r w:rsidRPr="00EC0B05">
              <w:rPr>
                <w:b/>
                <w:sz w:val="21"/>
                <w:szCs w:val="21"/>
              </w:rPr>
              <w:t>Rural Properties</w:t>
            </w:r>
            <w:bookmarkEnd w:id="97"/>
          </w:p>
        </w:tc>
        <w:tc>
          <w:tcPr>
            <w:tcW w:w="3664" w:type="pct"/>
          </w:tcPr>
          <w:p w14:paraId="062AEC5A" w14:textId="77777777" w:rsidR="000016AE" w:rsidRPr="00EC0B05" w:rsidRDefault="000016AE">
            <w:pPr>
              <w:pStyle w:val="BodyText"/>
              <w:tabs>
                <w:tab w:val="left" w:pos="3014"/>
              </w:tabs>
              <w:kinsoku w:val="0"/>
              <w:overflowPunct w:val="0"/>
              <w:rPr>
                <w:rFonts w:asciiTheme="minorHAnsi" w:hAnsiTheme="minorHAnsi"/>
                <w:w w:val="110"/>
              </w:rPr>
            </w:pPr>
            <w:r w:rsidRPr="00EC0B05">
              <w:rPr>
                <w:rFonts w:asciiTheme="minorHAnsi" w:eastAsiaTheme="minorHAnsi" w:hAnsiTheme="minorHAnsi" w:cstheme="minorBidi"/>
                <w:w w:val="110"/>
              </w:rPr>
              <w:t>Loans secured by rural properties that consist of contiguous parcels without regard to acreage, can be considered, if comparable sales support the value.  High land to value ratio should be typical for the area and supported by comparable sales and marketability.</w:t>
            </w:r>
          </w:p>
        </w:tc>
      </w:tr>
      <w:tr w:rsidR="00EC0B05" w:rsidRPr="00EC0B05" w14:paraId="5C59A89A" w14:textId="77777777" w:rsidTr="0063752F">
        <w:tc>
          <w:tcPr>
            <w:tcW w:w="1336" w:type="pct"/>
          </w:tcPr>
          <w:p w14:paraId="54F92C60" w14:textId="478549A8" w:rsidR="000016AE" w:rsidRPr="00EC0B05" w:rsidRDefault="000016AE" w:rsidP="00471F7C">
            <w:pPr>
              <w:rPr>
                <w:b/>
                <w:sz w:val="21"/>
                <w:szCs w:val="21"/>
              </w:rPr>
            </w:pPr>
            <w:bookmarkStart w:id="98" w:name="self_emp"/>
            <w:r w:rsidRPr="00EC0B05">
              <w:rPr>
                <w:b/>
                <w:sz w:val="21"/>
                <w:szCs w:val="21"/>
              </w:rPr>
              <w:t>Self-employed</w:t>
            </w:r>
            <w:bookmarkEnd w:id="98"/>
            <w:r w:rsidR="009C5F67" w:rsidRPr="00EC0B05">
              <w:rPr>
                <w:b/>
                <w:sz w:val="21"/>
                <w:szCs w:val="21"/>
              </w:rPr>
              <w:t xml:space="preserve"> Income Documentation</w:t>
            </w:r>
          </w:p>
        </w:tc>
        <w:tc>
          <w:tcPr>
            <w:tcW w:w="3664" w:type="pct"/>
          </w:tcPr>
          <w:p w14:paraId="03F169AB" w14:textId="590AD29B" w:rsidR="000016AE" w:rsidRPr="00EC0B05" w:rsidRDefault="000016AE">
            <w:pPr>
              <w:contextualSpacing/>
              <w:rPr>
                <w:w w:val="110"/>
                <w:sz w:val="21"/>
                <w:szCs w:val="21"/>
              </w:rPr>
            </w:pPr>
            <w:r w:rsidRPr="00EC0B05">
              <w:rPr>
                <w:w w:val="110"/>
                <w:sz w:val="21"/>
                <w:szCs w:val="21"/>
              </w:rPr>
              <w:t>Signed individual Federal Income Tax Returns (Form 1040) with all schedules for the most recent two</w:t>
            </w:r>
            <w:r w:rsidR="004F1CDA">
              <w:rPr>
                <w:w w:val="110"/>
                <w:sz w:val="21"/>
                <w:szCs w:val="21"/>
              </w:rPr>
              <w:t>-</w:t>
            </w:r>
            <w:r w:rsidRPr="00EC0B05">
              <w:rPr>
                <w:w w:val="110"/>
                <w:sz w:val="21"/>
                <w:szCs w:val="21"/>
              </w:rPr>
              <w:t xml:space="preserve">year period </w:t>
            </w:r>
            <w:r w:rsidR="00FA4769">
              <w:rPr>
                <w:w w:val="110"/>
                <w:sz w:val="21"/>
                <w:szCs w:val="21"/>
              </w:rPr>
              <w:t xml:space="preserve">are </w:t>
            </w:r>
            <w:r w:rsidRPr="00EC0B05">
              <w:rPr>
                <w:w w:val="110"/>
                <w:sz w:val="21"/>
                <w:szCs w:val="21"/>
              </w:rPr>
              <w:t>required.</w:t>
            </w:r>
            <w:r w:rsidR="008134A0">
              <w:rPr>
                <w:w w:val="110"/>
                <w:sz w:val="21"/>
                <w:szCs w:val="21"/>
              </w:rPr>
              <w:t xml:space="preserve"> </w:t>
            </w:r>
            <w:r w:rsidRPr="00EC0B05">
              <w:rPr>
                <w:w w:val="110"/>
                <w:sz w:val="21"/>
                <w:szCs w:val="21"/>
              </w:rPr>
              <w:t xml:space="preserve">Individual tax returns do not need to be signed if the loan file has a corresponding IRS tax transcript for the applicable period.  </w:t>
            </w:r>
          </w:p>
          <w:p w14:paraId="4079FBA9" w14:textId="77777777" w:rsidR="001075F0" w:rsidRDefault="001075F0">
            <w:pPr>
              <w:contextualSpacing/>
              <w:rPr>
                <w:w w:val="110"/>
                <w:sz w:val="21"/>
                <w:szCs w:val="21"/>
              </w:rPr>
            </w:pPr>
          </w:p>
          <w:p w14:paraId="4013BF1A" w14:textId="77777777" w:rsidR="001075F0" w:rsidRDefault="001075F0">
            <w:pPr>
              <w:contextualSpacing/>
              <w:rPr>
                <w:w w:val="110"/>
                <w:sz w:val="21"/>
                <w:szCs w:val="21"/>
              </w:rPr>
            </w:pPr>
            <w:r>
              <w:rPr>
                <w:b/>
                <w:w w:val="110"/>
                <w:sz w:val="21"/>
                <w:szCs w:val="21"/>
              </w:rPr>
              <w:t>Businesses that report income on IRS forms 1120-S or 1065:</w:t>
            </w:r>
          </w:p>
          <w:p w14:paraId="36C6F307" w14:textId="77777777" w:rsidR="008134A0" w:rsidRDefault="001075F0">
            <w:pPr>
              <w:contextualSpacing/>
              <w:rPr>
                <w:w w:val="110"/>
                <w:sz w:val="21"/>
                <w:szCs w:val="21"/>
              </w:rPr>
            </w:pPr>
            <w:r>
              <w:rPr>
                <w:w w:val="110"/>
                <w:sz w:val="21"/>
                <w:szCs w:val="21"/>
              </w:rPr>
              <w:t>K1s (and U.S. business tax returns with all relevant schedules for those businesses in which the borrower has a 25% or more ownership stake) are required for</w:t>
            </w:r>
            <w:r w:rsidR="008134A0">
              <w:rPr>
                <w:w w:val="110"/>
                <w:sz w:val="21"/>
                <w:szCs w:val="21"/>
              </w:rPr>
              <w:t>:</w:t>
            </w:r>
            <w:r>
              <w:rPr>
                <w:w w:val="110"/>
                <w:sz w:val="21"/>
                <w:szCs w:val="21"/>
              </w:rPr>
              <w:t xml:space="preserve"> </w:t>
            </w:r>
          </w:p>
          <w:p w14:paraId="7A25819B" w14:textId="77777777" w:rsidR="008134A0" w:rsidRDefault="008134A0" w:rsidP="00A8756A">
            <w:pPr>
              <w:pStyle w:val="ListParagraph"/>
              <w:numPr>
                <w:ilvl w:val="0"/>
                <w:numId w:val="70"/>
              </w:numPr>
              <w:rPr>
                <w:w w:val="110"/>
                <w:sz w:val="21"/>
                <w:szCs w:val="21"/>
              </w:rPr>
            </w:pPr>
            <w:r>
              <w:rPr>
                <w:w w:val="110"/>
                <w:sz w:val="21"/>
                <w:szCs w:val="21"/>
              </w:rPr>
              <w:t>B</w:t>
            </w:r>
            <w:r w:rsidRPr="008134A0">
              <w:rPr>
                <w:w w:val="110"/>
                <w:sz w:val="21"/>
                <w:szCs w:val="21"/>
              </w:rPr>
              <w:t>usinesses that generate positive income that will be used to qualify,</w:t>
            </w:r>
            <w:r>
              <w:rPr>
                <w:w w:val="110"/>
                <w:sz w:val="21"/>
                <w:szCs w:val="21"/>
              </w:rPr>
              <w:t xml:space="preserve"> and</w:t>
            </w:r>
          </w:p>
          <w:p w14:paraId="2CF6E0F6" w14:textId="77777777" w:rsidR="008134A0" w:rsidRDefault="008134A0" w:rsidP="00A8756A">
            <w:pPr>
              <w:pStyle w:val="ListParagraph"/>
              <w:numPr>
                <w:ilvl w:val="0"/>
                <w:numId w:val="70"/>
              </w:numPr>
              <w:rPr>
                <w:w w:val="110"/>
                <w:sz w:val="21"/>
                <w:szCs w:val="21"/>
              </w:rPr>
            </w:pPr>
            <w:r>
              <w:rPr>
                <w:w w:val="110"/>
                <w:sz w:val="21"/>
                <w:szCs w:val="21"/>
              </w:rPr>
              <w:t>All businesses generating losses</w:t>
            </w:r>
          </w:p>
          <w:p w14:paraId="39798867" w14:textId="77777777" w:rsidR="008134A0" w:rsidRDefault="008134A0">
            <w:pPr>
              <w:rPr>
                <w:w w:val="110"/>
                <w:sz w:val="21"/>
                <w:szCs w:val="21"/>
                <w:u w:val="single"/>
              </w:rPr>
            </w:pPr>
          </w:p>
          <w:p w14:paraId="27CC6021" w14:textId="77777777" w:rsidR="008134A0" w:rsidRDefault="008134A0">
            <w:pPr>
              <w:rPr>
                <w:w w:val="110"/>
                <w:sz w:val="21"/>
                <w:szCs w:val="21"/>
              </w:rPr>
            </w:pPr>
            <w:r>
              <w:rPr>
                <w:w w:val="110"/>
                <w:sz w:val="21"/>
                <w:szCs w:val="21"/>
                <w:u w:val="single"/>
              </w:rPr>
              <w:t>IF AFTER JUNE 30</w:t>
            </w:r>
            <w:r>
              <w:rPr>
                <w:w w:val="110"/>
                <w:sz w:val="21"/>
                <w:szCs w:val="21"/>
              </w:rPr>
              <w:t>: A borrower-signed YTD P&amp;L statement with supporting documentation (e.g. 2 most recent months’ business bank statements) are required for businesses that generate positive income that will be used to qualify, and all businesses generating losses.</w:t>
            </w:r>
          </w:p>
          <w:p w14:paraId="51F830EB" w14:textId="77777777" w:rsidR="008134A0" w:rsidRDefault="008134A0">
            <w:pPr>
              <w:rPr>
                <w:w w:val="110"/>
                <w:sz w:val="21"/>
                <w:szCs w:val="21"/>
              </w:rPr>
            </w:pPr>
          </w:p>
          <w:p w14:paraId="223EFE38" w14:textId="465AF401" w:rsidR="00112F3E" w:rsidRDefault="008134A0">
            <w:pPr>
              <w:rPr>
                <w:w w:val="110"/>
                <w:sz w:val="21"/>
                <w:szCs w:val="21"/>
              </w:rPr>
            </w:pPr>
            <w:r>
              <w:rPr>
                <w:w w:val="110"/>
                <w:sz w:val="21"/>
                <w:szCs w:val="21"/>
                <w:u w:val="single"/>
              </w:rPr>
              <w:t>IF BUSINESS RETURNS ARE ON EXTENSION</w:t>
            </w:r>
            <w:r>
              <w:rPr>
                <w:w w:val="110"/>
                <w:sz w:val="21"/>
                <w:szCs w:val="21"/>
              </w:rPr>
              <w:t>: A borrower-signed year-end P&amp;L statement with supporting documentation (e.g. November and December business bank statements for the applicable year), and the business returns for the</w:t>
            </w:r>
            <w:r w:rsidR="00B241D9">
              <w:rPr>
                <w:w w:val="110"/>
                <w:sz w:val="21"/>
                <w:szCs w:val="21"/>
              </w:rPr>
              <w:t xml:space="preserve"> available</w:t>
            </w:r>
            <w:r>
              <w:rPr>
                <w:w w:val="110"/>
                <w:sz w:val="21"/>
                <w:szCs w:val="21"/>
              </w:rPr>
              <w:t xml:space="preserve"> two most recent tax years must be provided.</w:t>
            </w:r>
          </w:p>
          <w:p w14:paraId="625110F8" w14:textId="77777777" w:rsidR="00112F3E" w:rsidRDefault="00112F3E">
            <w:pPr>
              <w:rPr>
                <w:w w:val="110"/>
                <w:sz w:val="21"/>
                <w:szCs w:val="21"/>
              </w:rPr>
            </w:pPr>
            <w:r>
              <w:rPr>
                <w:b/>
                <w:w w:val="110"/>
                <w:sz w:val="21"/>
                <w:szCs w:val="21"/>
              </w:rPr>
              <w:t>Businesses that report income on IRS form 1120:</w:t>
            </w:r>
          </w:p>
          <w:p w14:paraId="4056BA64" w14:textId="77777777" w:rsidR="002535F2" w:rsidRDefault="00112F3E">
            <w:pPr>
              <w:rPr>
                <w:w w:val="110"/>
                <w:sz w:val="21"/>
                <w:szCs w:val="21"/>
              </w:rPr>
            </w:pPr>
            <w:r>
              <w:rPr>
                <w:w w:val="110"/>
                <w:sz w:val="21"/>
                <w:szCs w:val="21"/>
              </w:rPr>
              <w:t xml:space="preserve">U.S. business tax returns (for those businesses in which the borrower has a 25% or more ownership stake), with all relevant schedules, for the most recent 2 years </w:t>
            </w:r>
            <w:r w:rsidR="002535F2">
              <w:rPr>
                <w:w w:val="110"/>
                <w:sz w:val="21"/>
                <w:szCs w:val="21"/>
              </w:rPr>
              <w:t>are required for:</w:t>
            </w:r>
          </w:p>
          <w:p w14:paraId="2DF5BAA7" w14:textId="77777777" w:rsidR="002535F2" w:rsidRDefault="002535F2" w:rsidP="00A8756A">
            <w:pPr>
              <w:pStyle w:val="ListParagraph"/>
              <w:numPr>
                <w:ilvl w:val="0"/>
                <w:numId w:val="71"/>
              </w:numPr>
              <w:rPr>
                <w:w w:val="110"/>
                <w:sz w:val="21"/>
                <w:szCs w:val="21"/>
              </w:rPr>
            </w:pPr>
            <w:r>
              <w:rPr>
                <w:w w:val="110"/>
                <w:sz w:val="21"/>
                <w:szCs w:val="21"/>
              </w:rPr>
              <w:t>B</w:t>
            </w:r>
            <w:r w:rsidR="00112F3E" w:rsidRPr="00B34CC2">
              <w:rPr>
                <w:w w:val="110"/>
                <w:sz w:val="21"/>
                <w:szCs w:val="21"/>
              </w:rPr>
              <w:t>usinesses that generate positive</w:t>
            </w:r>
            <w:r>
              <w:rPr>
                <w:w w:val="110"/>
                <w:sz w:val="21"/>
                <w:szCs w:val="21"/>
              </w:rPr>
              <w:t xml:space="preserve"> income that will be used to qualify, and</w:t>
            </w:r>
          </w:p>
          <w:p w14:paraId="5E0D4F44" w14:textId="77777777" w:rsidR="002535F2" w:rsidRDefault="002535F2" w:rsidP="00A8756A">
            <w:pPr>
              <w:pStyle w:val="ListParagraph"/>
              <w:numPr>
                <w:ilvl w:val="0"/>
                <w:numId w:val="71"/>
              </w:numPr>
              <w:rPr>
                <w:w w:val="110"/>
                <w:sz w:val="21"/>
                <w:szCs w:val="21"/>
              </w:rPr>
            </w:pPr>
            <w:r>
              <w:rPr>
                <w:w w:val="110"/>
                <w:sz w:val="21"/>
                <w:szCs w:val="21"/>
              </w:rPr>
              <w:t>All businesses generating losses</w:t>
            </w:r>
          </w:p>
          <w:p w14:paraId="2930788D" w14:textId="77777777" w:rsidR="002535F2" w:rsidRDefault="002535F2">
            <w:pPr>
              <w:rPr>
                <w:w w:val="110"/>
                <w:sz w:val="21"/>
                <w:szCs w:val="21"/>
              </w:rPr>
            </w:pPr>
          </w:p>
          <w:p w14:paraId="34FC73FB" w14:textId="77777777" w:rsidR="00260998" w:rsidRDefault="002535F2">
            <w:pPr>
              <w:rPr>
                <w:w w:val="110"/>
                <w:sz w:val="21"/>
                <w:szCs w:val="21"/>
              </w:rPr>
            </w:pPr>
            <w:r>
              <w:rPr>
                <w:w w:val="110"/>
                <w:sz w:val="21"/>
                <w:szCs w:val="21"/>
                <w:u w:val="single"/>
              </w:rPr>
              <w:t>IF AFTER JUNE 30</w:t>
            </w:r>
            <w:r>
              <w:rPr>
                <w:w w:val="110"/>
                <w:sz w:val="21"/>
                <w:szCs w:val="21"/>
              </w:rPr>
              <w:t xml:space="preserve">: </w:t>
            </w:r>
            <w:r w:rsidR="000D35B0">
              <w:rPr>
                <w:w w:val="110"/>
                <w:sz w:val="21"/>
                <w:szCs w:val="21"/>
              </w:rPr>
              <w:t>A borrower-signed YTD P&amp;L statement with supporting documentation (e.g. 2 most recent months’ business bank statements) are required for businesses that generate positive income that will be used to qualify, and all businesses generating losses.</w:t>
            </w:r>
          </w:p>
          <w:p w14:paraId="41F0C070" w14:textId="77777777" w:rsidR="00260998" w:rsidRDefault="00260998">
            <w:pPr>
              <w:rPr>
                <w:w w:val="110"/>
                <w:sz w:val="21"/>
                <w:szCs w:val="21"/>
              </w:rPr>
            </w:pPr>
          </w:p>
          <w:p w14:paraId="1F80DDAA" w14:textId="12D9A0AA" w:rsidR="00260998" w:rsidRDefault="00260998">
            <w:pPr>
              <w:rPr>
                <w:w w:val="110"/>
                <w:sz w:val="21"/>
                <w:szCs w:val="21"/>
              </w:rPr>
            </w:pPr>
            <w:r>
              <w:rPr>
                <w:w w:val="110"/>
                <w:sz w:val="21"/>
                <w:szCs w:val="21"/>
                <w:u w:val="single"/>
              </w:rPr>
              <w:t>IF BUSINESS RETURNS ARE ON EXTENSION</w:t>
            </w:r>
            <w:r>
              <w:rPr>
                <w:w w:val="110"/>
                <w:sz w:val="21"/>
                <w:szCs w:val="21"/>
              </w:rPr>
              <w:t xml:space="preserve">: A borrower-signed year-end P&amp;L statement with supporting documentation (e.g. November and December business bank statements for the applicable year), and the business returns for the </w:t>
            </w:r>
            <w:r w:rsidR="002D76F4">
              <w:rPr>
                <w:w w:val="110"/>
                <w:sz w:val="21"/>
                <w:szCs w:val="21"/>
              </w:rPr>
              <w:t xml:space="preserve">available </w:t>
            </w:r>
            <w:r>
              <w:rPr>
                <w:w w:val="110"/>
                <w:sz w:val="21"/>
                <w:szCs w:val="21"/>
              </w:rPr>
              <w:t>two most recent tax years must be provided.</w:t>
            </w:r>
          </w:p>
          <w:p w14:paraId="67AA8E6E" w14:textId="77777777" w:rsidR="00260998" w:rsidRDefault="00260998">
            <w:pPr>
              <w:rPr>
                <w:w w:val="110"/>
                <w:sz w:val="21"/>
                <w:szCs w:val="21"/>
              </w:rPr>
            </w:pPr>
          </w:p>
          <w:p w14:paraId="12619B70" w14:textId="77777777" w:rsidR="00260998" w:rsidRDefault="00260998">
            <w:pPr>
              <w:rPr>
                <w:w w:val="110"/>
                <w:sz w:val="21"/>
                <w:szCs w:val="21"/>
              </w:rPr>
            </w:pPr>
            <w:r>
              <w:rPr>
                <w:b/>
                <w:w w:val="110"/>
                <w:sz w:val="21"/>
                <w:szCs w:val="21"/>
              </w:rPr>
              <w:t>Businesses that report income on IRS form 1040, Schedule C:</w:t>
            </w:r>
          </w:p>
          <w:p w14:paraId="7BB83418" w14:textId="77777777" w:rsidR="00260998" w:rsidRDefault="00260998">
            <w:pPr>
              <w:rPr>
                <w:w w:val="110"/>
                <w:sz w:val="21"/>
                <w:szCs w:val="21"/>
              </w:rPr>
            </w:pPr>
            <w:r>
              <w:rPr>
                <w:w w:val="110"/>
                <w:sz w:val="21"/>
                <w:szCs w:val="21"/>
              </w:rPr>
              <w:t>U.S. individual tax returns with all relevant schedules for the most recent 2 years are required for:</w:t>
            </w:r>
          </w:p>
          <w:p w14:paraId="146A6F3F" w14:textId="77777777" w:rsidR="00260998" w:rsidRDefault="00260998" w:rsidP="00A8756A">
            <w:pPr>
              <w:pStyle w:val="ListParagraph"/>
              <w:numPr>
                <w:ilvl w:val="0"/>
                <w:numId w:val="72"/>
              </w:numPr>
              <w:ind w:left="694"/>
              <w:rPr>
                <w:w w:val="110"/>
                <w:sz w:val="21"/>
                <w:szCs w:val="21"/>
              </w:rPr>
            </w:pPr>
            <w:r>
              <w:rPr>
                <w:w w:val="110"/>
                <w:sz w:val="21"/>
                <w:szCs w:val="21"/>
              </w:rPr>
              <w:t>Businesses that generate positive income that will be used to qualify, and</w:t>
            </w:r>
          </w:p>
          <w:p w14:paraId="28275AC7" w14:textId="77777777" w:rsidR="00260998" w:rsidRDefault="00260998" w:rsidP="00A8756A">
            <w:pPr>
              <w:pStyle w:val="ListParagraph"/>
              <w:numPr>
                <w:ilvl w:val="0"/>
                <w:numId w:val="72"/>
              </w:numPr>
              <w:ind w:left="694"/>
              <w:rPr>
                <w:w w:val="110"/>
                <w:sz w:val="21"/>
                <w:szCs w:val="21"/>
              </w:rPr>
            </w:pPr>
            <w:r>
              <w:rPr>
                <w:w w:val="110"/>
                <w:sz w:val="21"/>
                <w:szCs w:val="21"/>
              </w:rPr>
              <w:t>All businesses generating losses</w:t>
            </w:r>
          </w:p>
          <w:p w14:paraId="66D9632C" w14:textId="77777777" w:rsidR="00260998" w:rsidRDefault="00260998">
            <w:pPr>
              <w:rPr>
                <w:w w:val="110"/>
                <w:sz w:val="21"/>
                <w:szCs w:val="21"/>
              </w:rPr>
            </w:pPr>
          </w:p>
          <w:p w14:paraId="36D29D9F" w14:textId="77777777" w:rsidR="00260998" w:rsidRDefault="00260998">
            <w:pPr>
              <w:rPr>
                <w:w w:val="110"/>
                <w:sz w:val="21"/>
                <w:szCs w:val="21"/>
              </w:rPr>
            </w:pPr>
            <w:r>
              <w:rPr>
                <w:w w:val="110"/>
                <w:sz w:val="21"/>
                <w:szCs w:val="21"/>
                <w:u w:val="single"/>
              </w:rPr>
              <w:t>IF AFTER JUNE 30</w:t>
            </w:r>
            <w:r>
              <w:rPr>
                <w:w w:val="110"/>
                <w:sz w:val="21"/>
                <w:szCs w:val="21"/>
              </w:rPr>
              <w:t>: A borrower-signed YTD P&amp;L statement with supporting documentation (e.g. 2 most recent months’ business bank statements) are required for businesses that generate positive income that will be used to qualify, and all businesses generating losses.</w:t>
            </w:r>
          </w:p>
          <w:p w14:paraId="13F5546F" w14:textId="77777777" w:rsidR="00260998" w:rsidRDefault="00260998">
            <w:pPr>
              <w:rPr>
                <w:w w:val="110"/>
                <w:sz w:val="21"/>
                <w:szCs w:val="21"/>
              </w:rPr>
            </w:pPr>
          </w:p>
          <w:p w14:paraId="027BDE0A" w14:textId="41F55B2C" w:rsidR="00260998" w:rsidRDefault="00260998">
            <w:pPr>
              <w:rPr>
                <w:w w:val="110"/>
                <w:sz w:val="21"/>
                <w:szCs w:val="21"/>
              </w:rPr>
            </w:pPr>
            <w:r>
              <w:rPr>
                <w:w w:val="110"/>
                <w:sz w:val="21"/>
                <w:szCs w:val="21"/>
                <w:u w:val="single"/>
              </w:rPr>
              <w:t>IF TAX RETURNS ARE ON EXTENSION</w:t>
            </w:r>
            <w:r>
              <w:rPr>
                <w:w w:val="110"/>
                <w:sz w:val="21"/>
                <w:szCs w:val="21"/>
              </w:rPr>
              <w:t>: A borrower-signed year-end P&amp;L statement with supporting documentation (e.g. November and December business bank statements for the applicable year), and the personal returns for the</w:t>
            </w:r>
            <w:r w:rsidR="002D76F4">
              <w:rPr>
                <w:w w:val="110"/>
                <w:sz w:val="21"/>
                <w:szCs w:val="21"/>
              </w:rPr>
              <w:t xml:space="preserve"> available</w:t>
            </w:r>
            <w:r>
              <w:rPr>
                <w:w w:val="110"/>
                <w:sz w:val="21"/>
                <w:szCs w:val="21"/>
              </w:rPr>
              <w:t xml:space="preserve"> two most recent tax years must be provided.</w:t>
            </w:r>
          </w:p>
          <w:p w14:paraId="13041813" w14:textId="77777777" w:rsidR="00260998" w:rsidRDefault="00260998">
            <w:pPr>
              <w:rPr>
                <w:w w:val="110"/>
                <w:sz w:val="21"/>
                <w:szCs w:val="21"/>
              </w:rPr>
            </w:pPr>
          </w:p>
          <w:p w14:paraId="32ECDC29" w14:textId="77777777" w:rsidR="00F05CFD" w:rsidRDefault="00260998">
            <w:pPr>
              <w:rPr>
                <w:w w:val="110"/>
                <w:sz w:val="21"/>
                <w:szCs w:val="21"/>
              </w:rPr>
            </w:pPr>
            <w:r>
              <w:rPr>
                <w:b/>
                <w:w w:val="110"/>
                <w:sz w:val="21"/>
                <w:szCs w:val="21"/>
              </w:rPr>
              <w:t xml:space="preserve">New Businesses: </w:t>
            </w:r>
            <w:r w:rsidR="003C10EB">
              <w:rPr>
                <w:w w:val="110"/>
                <w:sz w:val="21"/>
                <w:szCs w:val="21"/>
              </w:rPr>
              <w:t xml:space="preserve">If the borrower is qualifying based on income received from a business that started within the last year (e.g. has not yet filed business tax </w:t>
            </w:r>
            <w:r w:rsidR="003C10EB">
              <w:rPr>
                <w:w w:val="110"/>
                <w:sz w:val="21"/>
                <w:szCs w:val="21"/>
              </w:rPr>
              <w:lastRenderedPageBreak/>
              <w:t>returns), a borrower-signed YTD P&amp;L to document income must be provided and supported by bank statements for the period indicated on the P&amp;L.</w:t>
            </w:r>
          </w:p>
          <w:p w14:paraId="3E761F02" w14:textId="77777777" w:rsidR="00F05CFD" w:rsidRDefault="00F05CFD">
            <w:pPr>
              <w:rPr>
                <w:w w:val="110"/>
                <w:sz w:val="21"/>
                <w:szCs w:val="21"/>
              </w:rPr>
            </w:pPr>
          </w:p>
          <w:p w14:paraId="49E1F326" w14:textId="77777777" w:rsidR="00FC5540" w:rsidRDefault="00F05CFD">
            <w:pPr>
              <w:rPr>
                <w:w w:val="110"/>
                <w:sz w:val="21"/>
                <w:szCs w:val="21"/>
              </w:rPr>
            </w:pPr>
            <w:r>
              <w:rPr>
                <w:b/>
                <w:w w:val="110"/>
                <w:sz w:val="21"/>
                <w:szCs w:val="21"/>
              </w:rPr>
              <w:t>Distribution Income:</w:t>
            </w:r>
            <w:r>
              <w:rPr>
                <w:w w:val="110"/>
                <w:sz w:val="21"/>
                <w:szCs w:val="21"/>
              </w:rPr>
              <w:t xml:space="preserve"> The 2 most recent years’ K1s evidencing receipt of distribution income, and verification the business has sufficient assets and/or property to continue paying the distributions are required. </w:t>
            </w:r>
            <w:r w:rsidR="00FC5540">
              <w:rPr>
                <w:w w:val="110"/>
                <w:sz w:val="21"/>
                <w:szCs w:val="21"/>
              </w:rPr>
              <w:t xml:space="preserve">Distribution income must be used in lieu of Ordinary Income. </w:t>
            </w:r>
          </w:p>
          <w:p w14:paraId="51D42FCB" w14:textId="77777777" w:rsidR="00FC5540" w:rsidRDefault="00FC5540">
            <w:pPr>
              <w:rPr>
                <w:w w:val="110"/>
                <w:sz w:val="21"/>
                <w:szCs w:val="21"/>
              </w:rPr>
            </w:pPr>
          </w:p>
          <w:p w14:paraId="3F05CB6B" w14:textId="568643CF" w:rsidR="000016AE" w:rsidRPr="00EC0B05" w:rsidRDefault="00FC5540">
            <w:pPr>
              <w:contextualSpacing/>
              <w:rPr>
                <w:w w:val="110"/>
                <w:sz w:val="21"/>
                <w:szCs w:val="21"/>
              </w:rPr>
            </w:pPr>
            <w:r>
              <w:rPr>
                <w:b/>
                <w:w w:val="110"/>
                <w:sz w:val="21"/>
                <w:szCs w:val="21"/>
              </w:rPr>
              <w:t>Guaranteed Payments to Partners Income:</w:t>
            </w:r>
            <w:r>
              <w:rPr>
                <w:w w:val="110"/>
                <w:sz w:val="21"/>
                <w:szCs w:val="21"/>
              </w:rPr>
              <w:t xml:space="preserve"> The 2 most recent years’ K1s evidencing receipt of Guaranteed Payments, and verification the business has sufficient assets and/or property to continue making the payments are required.</w:t>
            </w:r>
            <w:r w:rsidR="00FB47EF">
              <w:rPr>
                <w:w w:val="110"/>
                <w:sz w:val="21"/>
                <w:szCs w:val="21"/>
              </w:rPr>
              <w:t xml:space="preserve"> Guaranteed payments may be used in addition to Ordinary Income. </w:t>
            </w:r>
          </w:p>
        </w:tc>
      </w:tr>
      <w:tr w:rsidR="00EC0B05" w:rsidRPr="00EC0B05" w14:paraId="546F8A17" w14:textId="77777777" w:rsidTr="0063752F">
        <w:tc>
          <w:tcPr>
            <w:tcW w:w="1336" w:type="pct"/>
          </w:tcPr>
          <w:p w14:paraId="6EE9E030" w14:textId="48F5ACDC" w:rsidR="00002D2F" w:rsidRPr="00EC0B05" w:rsidRDefault="00002D2F" w:rsidP="00471F7C">
            <w:pPr>
              <w:pStyle w:val="NoSpacing"/>
              <w:rPr>
                <w:b/>
                <w:w w:val="110"/>
              </w:rPr>
            </w:pPr>
            <w:bookmarkStart w:id="99" w:name="Servicing_Information" w:colFirst="0" w:colLast="0"/>
            <w:r w:rsidRPr="00EC0B05">
              <w:rPr>
                <w:b/>
                <w:w w:val="110"/>
              </w:rPr>
              <w:lastRenderedPageBreak/>
              <w:t>Servicing Information</w:t>
            </w:r>
          </w:p>
        </w:tc>
        <w:tc>
          <w:tcPr>
            <w:tcW w:w="3664" w:type="pct"/>
          </w:tcPr>
          <w:p w14:paraId="1D4A9670" w14:textId="1D49DFD1" w:rsidR="00002D2F" w:rsidRPr="00EC0B05" w:rsidRDefault="00BD730B">
            <w:pPr>
              <w:contextualSpacing/>
              <w:rPr>
                <w:rStyle w:val="Hyperlink"/>
                <w:color w:val="auto"/>
                <w:sz w:val="21"/>
                <w:szCs w:val="21"/>
              </w:rPr>
            </w:pPr>
            <w:r w:rsidRPr="00EC0B05">
              <w:rPr>
                <w:w w:val="110"/>
                <w:sz w:val="21"/>
                <w:szCs w:val="21"/>
              </w:rPr>
              <w:t xml:space="preserve">Loan Servicing Queries: </w:t>
            </w:r>
            <w:hyperlink r:id="rId14" w:history="1">
              <w:r w:rsidR="002D1DA1" w:rsidRPr="00FD575A">
                <w:rPr>
                  <w:rStyle w:val="Hyperlink"/>
                  <w:sz w:val="21"/>
                  <w:szCs w:val="21"/>
                </w:rPr>
                <w:t>loanservicing@axosbank.com</w:t>
              </w:r>
            </w:hyperlink>
          </w:p>
          <w:p w14:paraId="517A0A0C" w14:textId="6F2A2A2E" w:rsidR="00BD730B" w:rsidRPr="00EC0B05" w:rsidRDefault="002D1DA1">
            <w:pPr>
              <w:rPr>
                <w:rFonts w:eastAsiaTheme="minorEastAsia" w:cs="Arial"/>
                <w:noProof/>
                <w:sz w:val="21"/>
                <w:szCs w:val="21"/>
              </w:rPr>
            </w:pPr>
            <w:r>
              <w:rPr>
                <w:rFonts w:eastAsiaTheme="minorEastAsia" w:cs="Arial"/>
                <w:noProof/>
                <w:sz w:val="21"/>
                <w:szCs w:val="21"/>
              </w:rPr>
              <w:t>Axos Bank</w:t>
            </w:r>
            <w:r w:rsidR="00BD730B" w:rsidRPr="00EC0B05">
              <w:rPr>
                <w:rFonts w:eastAsiaTheme="minorEastAsia" w:cs="Arial"/>
                <w:noProof/>
                <w:sz w:val="21"/>
                <w:szCs w:val="21"/>
              </w:rPr>
              <w:t xml:space="preserve"> </w:t>
            </w:r>
          </w:p>
          <w:p w14:paraId="51E05383" w14:textId="18117A99" w:rsidR="00BD730B" w:rsidRPr="00EC0B05" w:rsidRDefault="00BD730B">
            <w:pPr>
              <w:rPr>
                <w:rFonts w:eastAsiaTheme="minorEastAsia" w:cs="Arial"/>
                <w:noProof/>
                <w:sz w:val="21"/>
                <w:szCs w:val="21"/>
              </w:rPr>
            </w:pPr>
            <w:r w:rsidRPr="00EC0B05">
              <w:rPr>
                <w:rFonts w:eastAsiaTheme="minorEastAsia" w:cs="Arial"/>
                <w:noProof/>
                <w:sz w:val="21"/>
                <w:szCs w:val="21"/>
              </w:rPr>
              <w:t xml:space="preserve">P O Box </w:t>
            </w:r>
            <w:r w:rsidR="00AC4E98">
              <w:rPr>
                <w:rFonts w:eastAsiaTheme="minorEastAsia" w:cs="Arial"/>
                <w:noProof/>
                <w:sz w:val="21"/>
                <w:szCs w:val="21"/>
              </w:rPr>
              <w:t>401420</w:t>
            </w:r>
          </w:p>
          <w:p w14:paraId="25F0AAAC" w14:textId="47915660" w:rsidR="00BD730B" w:rsidRDefault="00AC4E98">
            <w:pPr>
              <w:rPr>
                <w:rFonts w:eastAsiaTheme="minorEastAsia" w:cs="Arial"/>
                <w:noProof/>
                <w:sz w:val="21"/>
                <w:szCs w:val="21"/>
              </w:rPr>
            </w:pPr>
            <w:r>
              <w:rPr>
                <w:rFonts w:eastAsiaTheme="minorEastAsia" w:cs="Arial"/>
                <w:noProof/>
                <w:sz w:val="21"/>
                <w:szCs w:val="21"/>
              </w:rPr>
              <w:t>Las Vegas,NV</w:t>
            </w:r>
            <w:r w:rsidR="00BD730B" w:rsidRPr="00EC0B05">
              <w:rPr>
                <w:rFonts w:eastAsiaTheme="minorEastAsia" w:cs="Arial"/>
                <w:noProof/>
                <w:sz w:val="21"/>
                <w:szCs w:val="21"/>
              </w:rPr>
              <w:t xml:space="preserve"> </w:t>
            </w:r>
            <w:r>
              <w:rPr>
                <w:rFonts w:eastAsiaTheme="minorEastAsia" w:cs="Arial"/>
                <w:noProof/>
                <w:sz w:val="21"/>
                <w:szCs w:val="21"/>
              </w:rPr>
              <w:t>89140</w:t>
            </w:r>
          </w:p>
          <w:p w14:paraId="5510D467" w14:textId="0EE499AC" w:rsidR="00AC4E98" w:rsidRDefault="00AC4E98" w:rsidP="00AC4E98">
            <w:pPr>
              <w:rPr>
                <w:color w:val="000000" w:themeColor="text1"/>
                <w:sz w:val="21"/>
                <w:szCs w:val="21"/>
              </w:rPr>
            </w:pPr>
            <w:r w:rsidRPr="00AC4E98">
              <w:rPr>
                <w:color w:val="000000" w:themeColor="text1"/>
                <w:sz w:val="21"/>
                <w:szCs w:val="21"/>
              </w:rPr>
              <w:t>Toll Free 866-923-7112</w:t>
            </w:r>
          </w:p>
          <w:p w14:paraId="0681C1FF" w14:textId="77777777" w:rsidR="00AC4E98" w:rsidRPr="00AC4E98" w:rsidRDefault="00AC4E98" w:rsidP="00AC4E98">
            <w:pPr>
              <w:rPr>
                <w:rFonts w:ascii="Calibri" w:hAnsi="Calibri" w:cs="Times New Roman"/>
                <w:color w:val="000000" w:themeColor="text1"/>
                <w:sz w:val="21"/>
                <w:szCs w:val="21"/>
              </w:rPr>
            </w:pPr>
            <w:r w:rsidRPr="00AC4E98">
              <w:rPr>
                <w:color w:val="000000" w:themeColor="text1"/>
                <w:sz w:val="21"/>
                <w:szCs w:val="21"/>
              </w:rPr>
              <w:t>Hours of operation: 8:00 AM – 5:00 PM (PT)</w:t>
            </w:r>
          </w:p>
          <w:p w14:paraId="0002CB38" w14:textId="77777777" w:rsidR="00A70DA6" w:rsidRPr="00EC0B05" w:rsidRDefault="00A70DA6">
            <w:pPr>
              <w:rPr>
                <w:rFonts w:eastAsiaTheme="minorEastAsia" w:cs="Arial"/>
                <w:noProof/>
                <w:sz w:val="21"/>
                <w:szCs w:val="21"/>
              </w:rPr>
            </w:pPr>
          </w:p>
          <w:p w14:paraId="063ACE0F" w14:textId="77777777" w:rsidR="00BD730B" w:rsidRPr="00EC0B05" w:rsidRDefault="00BD730B">
            <w:pPr>
              <w:rPr>
                <w:sz w:val="21"/>
                <w:szCs w:val="21"/>
                <w:u w:val="single"/>
              </w:rPr>
            </w:pPr>
            <w:r w:rsidRPr="00EC0B05">
              <w:rPr>
                <w:sz w:val="21"/>
                <w:szCs w:val="21"/>
                <w:u w:val="single"/>
              </w:rPr>
              <w:t>Address for loan payments:</w:t>
            </w:r>
          </w:p>
          <w:p w14:paraId="251FEA62" w14:textId="0C23F2D0" w:rsidR="008E1124" w:rsidRPr="00325FDB" w:rsidRDefault="002D1DA1" w:rsidP="00937D12">
            <w:pPr>
              <w:pStyle w:val="NoSpacing"/>
              <w:rPr>
                <w:sz w:val="21"/>
                <w:szCs w:val="21"/>
              </w:rPr>
            </w:pPr>
            <w:r>
              <w:t>Axos Bank</w:t>
            </w:r>
            <w:r w:rsidR="00AC32F7">
              <w:rPr>
                <w:sz w:val="21"/>
                <w:szCs w:val="21"/>
              </w:rPr>
              <w:t xml:space="preserve"> </w:t>
            </w:r>
            <w:r w:rsidR="00BD730B" w:rsidRPr="00EC0B05">
              <w:rPr>
                <w:sz w:val="21"/>
                <w:szCs w:val="21"/>
              </w:rPr>
              <w:br/>
              <w:t>PO Box 80471</w:t>
            </w:r>
            <w:r w:rsidR="00BD730B" w:rsidRPr="00EC0B05">
              <w:rPr>
                <w:sz w:val="21"/>
                <w:szCs w:val="21"/>
              </w:rPr>
              <w:br/>
              <w:t>City of Industry, CA 91716-8471</w:t>
            </w:r>
          </w:p>
        </w:tc>
      </w:tr>
      <w:tr w:rsidR="00710E18" w:rsidRPr="00EC0B05" w14:paraId="1D8E6F1C" w14:textId="77777777" w:rsidTr="0063752F">
        <w:tc>
          <w:tcPr>
            <w:tcW w:w="1336" w:type="pct"/>
          </w:tcPr>
          <w:p w14:paraId="0FCB48CD" w14:textId="778B0086" w:rsidR="00710E18" w:rsidRPr="00EC0B05" w:rsidRDefault="00710E18" w:rsidP="00471F7C">
            <w:pPr>
              <w:pStyle w:val="NoSpacing"/>
              <w:rPr>
                <w:b/>
                <w:w w:val="110"/>
              </w:rPr>
            </w:pPr>
            <w:r>
              <w:rPr>
                <w:b/>
                <w:w w:val="110"/>
              </w:rPr>
              <w:t>Solar Lease / Power Purchase Agreement</w:t>
            </w:r>
          </w:p>
        </w:tc>
        <w:tc>
          <w:tcPr>
            <w:tcW w:w="3664" w:type="pct"/>
          </w:tcPr>
          <w:p w14:paraId="269082FB" w14:textId="1778D2EB" w:rsidR="00710E18" w:rsidRDefault="009C5201">
            <w:pPr>
              <w:contextualSpacing/>
              <w:rPr>
                <w:w w:val="110"/>
                <w:sz w:val="21"/>
                <w:szCs w:val="21"/>
              </w:rPr>
            </w:pPr>
            <w:r>
              <w:rPr>
                <w:w w:val="110"/>
                <w:sz w:val="21"/>
                <w:szCs w:val="21"/>
              </w:rPr>
              <w:t xml:space="preserve">If, during an underwriter’s review of the title report, a Solar UCC filing is found, the borrower will have to provide the full, actual Lease or Power Purchase Agreement. </w:t>
            </w:r>
          </w:p>
          <w:p w14:paraId="11404269" w14:textId="64B25C49" w:rsidR="009C5201" w:rsidRDefault="009C5201">
            <w:pPr>
              <w:contextualSpacing/>
              <w:rPr>
                <w:w w:val="110"/>
                <w:sz w:val="21"/>
                <w:szCs w:val="21"/>
              </w:rPr>
            </w:pPr>
          </w:p>
          <w:p w14:paraId="2850BB28" w14:textId="77777777" w:rsidR="009C5201" w:rsidRDefault="009C5201">
            <w:pPr>
              <w:contextualSpacing/>
              <w:rPr>
                <w:w w:val="110"/>
                <w:sz w:val="21"/>
                <w:szCs w:val="21"/>
              </w:rPr>
            </w:pPr>
            <w:r>
              <w:rPr>
                <w:w w:val="110"/>
                <w:sz w:val="21"/>
                <w:szCs w:val="21"/>
              </w:rPr>
              <w:t xml:space="preserve">Any separate lease payment must be included in the DTI for qualifying. However, payments under leases or power purchase agreements where the payment is calculated solely based on the energy produced may be EXCLUDED from the DTI ratio. </w:t>
            </w:r>
          </w:p>
          <w:p w14:paraId="762B0EDB" w14:textId="77777777" w:rsidR="009C5201" w:rsidRDefault="009C5201">
            <w:pPr>
              <w:contextualSpacing/>
              <w:rPr>
                <w:w w:val="110"/>
                <w:sz w:val="21"/>
                <w:szCs w:val="21"/>
              </w:rPr>
            </w:pPr>
          </w:p>
          <w:p w14:paraId="04B48CE9" w14:textId="54F260A6" w:rsidR="009C5201" w:rsidRPr="00EC0B05" w:rsidRDefault="009C5201">
            <w:pPr>
              <w:contextualSpacing/>
              <w:rPr>
                <w:w w:val="110"/>
                <w:sz w:val="21"/>
                <w:szCs w:val="21"/>
              </w:rPr>
            </w:pPr>
            <w:r>
              <w:rPr>
                <w:w w:val="110"/>
                <w:sz w:val="21"/>
                <w:szCs w:val="21"/>
              </w:rPr>
              <w:t xml:space="preserve">The Bank will also </w:t>
            </w:r>
            <w:r w:rsidR="00AF1EAC">
              <w:rPr>
                <w:w w:val="110"/>
                <w:sz w:val="21"/>
                <w:szCs w:val="21"/>
              </w:rPr>
              <w:t xml:space="preserve">instruct Title to add a Solar Endorsement to the final title report. </w:t>
            </w:r>
          </w:p>
        </w:tc>
      </w:tr>
      <w:tr w:rsidR="00EC0B05" w:rsidRPr="00EC0B05" w14:paraId="20109929" w14:textId="77777777" w:rsidTr="0063752F">
        <w:tc>
          <w:tcPr>
            <w:tcW w:w="1336" w:type="pct"/>
          </w:tcPr>
          <w:p w14:paraId="5611820D" w14:textId="02A7213A" w:rsidR="000016AE" w:rsidRPr="00EC0B05" w:rsidRDefault="000016AE" w:rsidP="00471F7C">
            <w:pPr>
              <w:rPr>
                <w:b/>
                <w:sz w:val="21"/>
                <w:szCs w:val="21"/>
              </w:rPr>
            </w:pPr>
            <w:bookmarkStart w:id="100" w:name="sq_foot"/>
            <w:bookmarkEnd w:id="99"/>
            <w:r w:rsidRPr="00EC0B05">
              <w:rPr>
                <w:b/>
                <w:sz w:val="21"/>
                <w:szCs w:val="21"/>
              </w:rPr>
              <w:t>Square Footage</w:t>
            </w:r>
            <w:bookmarkEnd w:id="100"/>
          </w:p>
        </w:tc>
        <w:tc>
          <w:tcPr>
            <w:tcW w:w="3664" w:type="pct"/>
            <w:vAlign w:val="center"/>
          </w:tcPr>
          <w:p w14:paraId="78B70390" w14:textId="070B8056" w:rsidR="000016AE" w:rsidRPr="00EC0B05" w:rsidRDefault="000016AE">
            <w:pPr>
              <w:rPr>
                <w:sz w:val="21"/>
                <w:szCs w:val="21"/>
              </w:rPr>
            </w:pPr>
            <w:r w:rsidRPr="00EC0B05">
              <w:rPr>
                <w:sz w:val="21"/>
                <w:szCs w:val="21"/>
              </w:rPr>
              <w:t>There is no min</w:t>
            </w:r>
            <w:r w:rsidR="004F1CDA">
              <w:rPr>
                <w:sz w:val="21"/>
                <w:szCs w:val="21"/>
              </w:rPr>
              <w:t>imum square footage requirement</w:t>
            </w:r>
            <w:r w:rsidRPr="00EC0B05">
              <w:rPr>
                <w:sz w:val="21"/>
                <w:szCs w:val="21"/>
              </w:rPr>
              <w:t xml:space="preserve">.  The home should be sufficient living size and not unique to the area.  It may be necessary to </w:t>
            </w:r>
            <w:r w:rsidRPr="00EC0B05">
              <w:rPr>
                <w:w w:val="110"/>
                <w:sz w:val="21"/>
                <w:szCs w:val="21"/>
              </w:rPr>
              <w:t>further reduce loan­ to-value for studio or 1 bed/ l bath units.</w:t>
            </w:r>
          </w:p>
        </w:tc>
      </w:tr>
      <w:tr w:rsidR="00EC0B05" w:rsidRPr="00EC0B05" w14:paraId="0B596FD2" w14:textId="77777777" w:rsidTr="0063752F">
        <w:tc>
          <w:tcPr>
            <w:tcW w:w="1336" w:type="pct"/>
          </w:tcPr>
          <w:p w14:paraId="37D07876" w14:textId="58E41800" w:rsidR="000016AE" w:rsidRPr="00EC0B05" w:rsidRDefault="000016AE" w:rsidP="00471F7C">
            <w:pPr>
              <w:rPr>
                <w:b/>
                <w:w w:val="110"/>
                <w:sz w:val="21"/>
                <w:szCs w:val="21"/>
              </w:rPr>
            </w:pPr>
            <w:bookmarkStart w:id="101" w:name="sub_fin"/>
            <w:r w:rsidRPr="00EC0B05">
              <w:rPr>
                <w:b/>
                <w:w w:val="110"/>
                <w:sz w:val="21"/>
                <w:szCs w:val="21"/>
              </w:rPr>
              <w:t>Subordinate Financing</w:t>
            </w:r>
            <w:bookmarkEnd w:id="101"/>
          </w:p>
        </w:tc>
        <w:tc>
          <w:tcPr>
            <w:tcW w:w="3664" w:type="pct"/>
          </w:tcPr>
          <w:p w14:paraId="53AA140B" w14:textId="77777777" w:rsidR="000016AE" w:rsidRPr="00EC0B05" w:rsidRDefault="000016AE" w:rsidP="00A8756A">
            <w:pPr>
              <w:pStyle w:val="TableParagraph"/>
              <w:widowControl/>
              <w:numPr>
                <w:ilvl w:val="0"/>
                <w:numId w:val="28"/>
              </w:numPr>
              <w:autoSpaceDE w:val="0"/>
              <w:autoSpaceDN w:val="0"/>
              <w:ind w:right="571"/>
              <w:contextualSpacing/>
              <w:rPr>
                <w:w w:val="110"/>
                <w:sz w:val="21"/>
                <w:szCs w:val="21"/>
              </w:rPr>
            </w:pPr>
            <w:r w:rsidRPr="00EC0B05">
              <w:rPr>
                <w:w w:val="110"/>
                <w:sz w:val="21"/>
                <w:szCs w:val="21"/>
              </w:rPr>
              <w:t>If the secondary financing is not fully amortized, it must have a maturity date of more than five (5) years but not more than thirty (30) years;</w:t>
            </w:r>
          </w:p>
          <w:p w14:paraId="3ECFC748" w14:textId="77777777" w:rsidR="000016AE" w:rsidRDefault="000016AE" w:rsidP="00A8756A">
            <w:pPr>
              <w:pStyle w:val="TableParagraph"/>
              <w:widowControl/>
              <w:numPr>
                <w:ilvl w:val="0"/>
                <w:numId w:val="28"/>
              </w:numPr>
              <w:autoSpaceDE w:val="0"/>
              <w:autoSpaceDN w:val="0"/>
              <w:ind w:right="278"/>
              <w:contextualSpacing/>
              <w:rPr>
                <w:w w:val="110"/>
                <w:sz w:val="21"/>
                <w:szCs w:val="21"/>
              </w:rPr>
            </w:pPr>
            <w:r w:rsidRPr="00EC0B05">
              <w:rPr>
                <w:w w:val="110"/>
                <w:sz w:val="21"/>
                <w:szCs w:val="21"/>
              </w:rPr>
              <w:t>Payments used to qualify the borrower shall be calculated using equal monthly, fully-amortized payment s that are based on the greater of the fully indexed rate or start rate.</w:t>
            </w:r>
          </w:p>
          <w:p w14:paraId="55E45A20" w14:textId="1EBEA201" w:rsidR="00BD7229" w:rsidRPr="00EC0B05" w:rsidRDefault="00BD7229" w:rsidP="00A8756A">
            <w:pPr>
              <w:pStyle w:val="TableParagraph"/>
              <w:widowControl/>
              <w:numPr>
                <w:ilvl w:val="0"/>
                <w:numId w:val="28"/>
              </w:numPr>
              <w:autoSpaceDE w:val="0"/>
              <w:autoSpaceDN w:val="0"/>
              <w:ind w:right="278"/>
              <w:contextualSpacing/>
              <w:rPr>
                <w:w w:val="110"/>
                <w:sz w:val="21"/>
                <w:szCs w:val="21"/>
              </w:rPr>
            </w:pPr>
            <w:r>
              <w:rPr>
                <w:w w:val="110"/>
                <w:sz w:val="21"/>
                <w:szCs w:val="21"/>
              </w:rPr>
              <w:t>If a balloon payment is present, the maturity date must be a minimum of 60 months from the first payment date of the</w:t>
            </w:r>
            <w:r w:rsidR="00B1182B">
              <w:rPr>
                <w:w w:val="110"/>
                <w:sz w:val="21"/>
                <w:szCs w:val="21"/>
              </w:rPr>
              <w:t xml:space="preserve"> subordinate</w:t>
            </w:r>
            <w:r>
              <w:rPr>
                <w:w w:val="110"/>
                <w:sz w:val="21"/>
                <w:szCs w:val="21"/>
              </w:rPr>
              <w:t xml:space="preserve"> Note and must be 60 months from the date of consummation of the </w:t>
            </w:r>
            <w:r w:rsidR="002D1DA1">
              <w:rPr>
                <w:w w:val="110"/>
                <w:sz w:val="21"/>
                <w:szCs w:val="21"/>
              </w:rPr>
              <w:t>Axos Bank</w:t>
            </w:r>
            <w:r>
              <w:rPr>
                <w:w w:val="110"/>
                <w:sz w:val="21"/>
                <w:szCs w:val="21"/>
              </w:rPr>
              <w:t xml:space="preserve"> Note.</w:t>
            </w:r>
          </w:p>
          <w:p w14:paraId="441CF477" w14:textId="77777777" w:rsidR="000016AE" w:rsidRPr="00EC0B05" w:rsidRDefault="000016AE" w:rsidP="00A8756A">
            <w:pPr>
              <w:pStyle w:val="TableParagraph"/>
              <w:widowControl/>
              <w:numPr>
                <w:ilvl w:val="0"/>
                <w:numId w:val="28"/>
              </w:numPr>
              <w:autoSpaceDE w:val="0"/>
              <w:autoSpaceDN w:val="0"/>
              <w:ind w:right="440"/>
              <w:contextualSpacing/>
              <w:rPr>
                <w:w w:val="110"/>
                <w:sz w:val="21"/>
                <w:szCs w:val="21"/>
              </w:rPr>
            </w:pPr>
            <w:r w:rsidRPr="00EC0B05">
              <w:rPr>
                <w:w w:val="110"/>
                <w:sz w:val="21"/>
                <w:szCs w:val="21"/>
              </w:rPr>
              <w:t>High Priced Mortgage Loans (HPML) may not have a second trust deed with a balloon payment;</w:t>
            </w:r>
          </w:p>
          <w:p w14:paraId="25DB54DF" w14:textId="77777777" w:rsidR="000016AE" w:rsidRPr="00EC0B05" w:rsidRDefault="000016AE" w:rsidP="00A8756A">
            <w:pPr>
              <w:pStyle w:val="TableParagraph"/>
              <w:widowControl/>
              <w:numPr>
                <w:ilvl w:val="0"/>
                <w:numId w:val="28"/>
              </w:numPr>
              <w:autoSpaceDE w:val="0"/>
              <w:autoSpaceDN w:val="0"/>
              <w:ind w:right="134"/>
              <w:contextualSpacing/>
              <w:rPr>
                <w:w w:val="110"/>
                <w:sz w:val="21"/>
                <w:szCs w:val="21"/>
              </w:rPr>
            </w:pPr>
            <w:r w:rsidRPr="00EC0B05">
              <w:rPr>
                <w:w w:val="110"/>
                <w:sz w:val="21"/>
                <w:szCs w:val="21"/>
              </w:rPr>
              <w:t>The monthly payment on the secondary financing must be included in the calculation of the borrower’s PITIA;</w:t>
            </w:r>
          </w:p>
          <w:p w14:paraId="6A53A81B" w14:textId="77777777" w:rsidR="000016AE" w:rsidRPr="00EC0B05" w:rsidRDefault="000016AE" w:rsidP="00A8756A">
            <w:pPr>
              <w:pStyle w:val="TableParagraph"/>
              <w:widowControl/>
              <w:numPr>
                <w:ilvl w:val="0"/>
                <w:numId w:val="28"/>
              </w:numPr>
              <w:autoSpaceDE w:val="0"/>
              <w:autoSpaceDN w:val="0"/>
              <w:contextualSpacing/>
              <w:rPr>
                <w:w w:val="110"/>
                <w:sz w:val="21"/>
                <w:szCs w:val="21"/>
              </w:rPr>
            </w:pPr>
            <w:r w:rsidRPr="00EC0B05">
              <w:rPr>
                <w:w w:val="110"/>
                <w:sz w:val="21"/>
                <w:szCs w:val="21"/>
              </w:rPr>
              <w:lastRenderedPageBreak/>
              <w:t>Copies of the note and deed of trust for the secondary financing must be provided;</w:t>
            </w:r>
          </w:p>
          <w:p w14:paraId="2664FD62" w14:textId="77777777" w:rsidR="000016AE" w:rsidRPr="00EC0B05" w:rsidRDefault="000016AE" w:rsidP="00A8756A">
            <w:pPr>
              <w:pStyle w:val="TableParagraph"/>
              <w:widowControl/>
              <w:numPr>
                <w:ilvl w:val="0"/>
                <w:numId w:val="28"/>
              </w:numPr>
              <w:autoSpaceDE w:val="0"/>
              <w:autoSpaceDN w:val="0"/>
              <w:contextualSpacing/>
              <w:rPr>
                <w:w w:val="110"/>
                <w:sz w:val="21"/>
                <w:szCs w:val="21"/>
              </w:rPr>
            </w:pPr>
            <w:r w:rsidRPr="00EC0B05">
              <w:rPr>
                <w:w w:val="110"/>
                <w:sz w:val="21"/>
                <w:szCs w:val="21"/>
              </w:rPr>
              <w:t>Negative amortization is not permitted nor is equity share or shared appreciation</w:t>
            </w:r>
          </w:p>
        </w:tc>
      </w:tr>
      <w:tr w:rsidR="00727C08" w:rsidRPr="00EC0B05" w14:paraId="5F942133" w14:textId="77777777" w:rsidTr="0063752F">
        <w:tc>
          <w:tcPr>
            <w:tcW w:w="1336" w:type="pct"/>
          </w:tcPr>
          <w:p w14:paraId="4EE1DA1F" w14:textId="3C0AD28D" w:rsidR="00727C08" w:rsidRPr="00EC0B05" w:rsidRDefault="00727C08" w:rsidP="00471F7C">
            <w:pPr>
              <w:rPr>
                <w:b/>
                <w:w w:val="110"/>
                <w:sz w:val="21"/>
                <w:szCs w:val="21"/>
              </w:rPr>
            </w:pPr>
            <w:bookmarkStart w:id="102" w:name="student_loans"/>
            <w:r>
              <w:rPr>
                <w:b/>
                <w:w w:val="110"/>
                <w:sz w:val="21"/>
                <w:szCs w:val="21"/>
              </w:rPr>
              <w:lastRenderedPageBreak/>
              <w:t>Student Loans</w:t>
            </w:r>
            <w:bookmarkEnd w:id="102"/>
          </w:p>
        </w:tc>
        <w:tc>
          <w:tcPr>
            <w:tcW w:w="3664" w:type="pct"/>
          </w:tcPr>
          <w:p w14:paraId="4531424A" w14:textId="77777777" w:rsidR="00727C08" w:rsidRPr="00727C08" w:rsidRDefault="00727C08" w:rsidP="00A8756A">
            <w:pPr>
              <w:pStyle w:val="TableParagraph"/>
              <w:numPr>
                <w:ilvl w:val="0"/>
                <w:numId w:val="28"/>
              </w:numPr>
              <w:autoSpaceDE w:val="0"/>
              <w:autoSpaceDN w:val="0"/>
              <w:ind w:right="571"/>
              <w:contextualSpacing/>
              <w:rPr>
                <w:w w:val="110"/>
                <w:sz w:val="21"/>
                <w:szCs w:val="21"/>
              </w:rPr>
            </w:pPr>
            <w:r w:rsidRPr="00727C08">
              <w:rPr>
                <w:w w:val="110"/>
                <w:sz w:val="21"/>
                <w:szCs w:val="21"/>
              </w:rPr>
              <w:t>Student loans on deferment will not have payments included as a recurring monthly expense unless repayment begins within 12 months of the conditional approval date</w:t>
            </w:r>
          </w:p>
          <w:p w14:paraId="4979C555" w14:textId="0DC8E5C8" w:rsidR="00727C08" w:rsidRPr="00EC0B05" w:rsidRDefault="00727C08" w:rsidP="00A8756A">
            <w:pPr>
              <w:pStyle w:val="TableParagraph"/>
              <w:widowControl/>
              <w:numPr>
                <w:ilvl w:val="0"/>
                <w:numId w:val="28"/>
              </w:numPr>
              <w:autoSpaceDE w:val="0"/>
              <w:autoSpaceDN w:val="0"/>
              <w:ind w:right="571"/>
              <w:contextualSpacing/>
              <w:rPr>
                <w:w w:val="110"/>
                <w:sz w:val="21"/>
                <w:szCs w:val="21"/>
              </w:rPr>
            </w:pPr>
            <w:r w:rsidRPr="00727C08">
              <w:rPr>
                <w:w w:val="110"/>
                <w:sz w:val="21"/>
                <w:szCs w:val="21"/>
              </w:rPr>
              <w:t>Student loans in repayment that do not reflect a payment on the borrower’s credit report are to be estimated at 1% of the outstanding principal balance</w:t>
            </w:r>
          </w:p>
        </w:tc>
      </w:tr>
      <w:tr w:rsidR="00F303AE" w:rsidRPr="00EC0B05" w14:paraId="03DF2EA6" w14:textId="77777777" w:rsidTr="0063752F">
        <w:tc>
          <w:tcPr>
            <w:tcW w:w="1336" w:type="pct"/>
          </w:tcPr>
          <w:p w14:paraId="1AC6A007" w14:textId="2AAC6829" w:rsidR="00F303AE" w:rsidRDefault="00F303AE" w:rsidP="00471F7C">
            <w:pPr>
              <w:rPr>
                <w:b/>
                <w:w w:val="110"/>
                <w:sz w:val="21"/>
                <w:szCs w:val="21"/>
              </w:rPr>
            </w:pPr>
            <w:bookmarkStart w:id="103" w:name="taxreturns_extension"/>
            <w:r>
              <w:rPr>
                <w:b/>
                <w:w w:val="110"/>
                <w:sz w:val="21"/>
                <w:szCs w:val="21"/>
              </w:rPr>
              <w:t>Tax Returns on Extension</w:t>
            </w:r>
            <w:bookmarkEnd w:id="103"/>
          </w:p>
        </w:tc>
        <w:tc>
          <w:tcPr>
            <w:tcW w:w="3664" w:type="pct"/>
          </w:tcPr>
          <w:p w14:paraId="090A4194" w14:textId="77777777" w:rsidR="00F303AE" w:rsidRDefault="00F303AE" w:rsidP="00F303AE">
            <w:pPr>
              <w:pStyle w:val="TableParagraph"/>
              <w:numPr>
                <w:ilvl w:val="0"/>
                <w:numId w:val="28"/>
              </w:numPr>
              <w:autoSpaceDE w:val="0"/>
              <w:autoSpaceDN w:val="0"/>
              <w:ind w:right="571"/>
              <w:contextualSpacing/>
              <w:rPr>
                <w:w w:val="110"/>
                <w:sz w:val="21"/>
                <w:szCs w:val="21"/>
              </w:rPr>
            </w:pPr>
            <w:r>
              <w:rPr>
                <w:w w:val="110"/>
                <w:sz w:val="21"/>
                <w:szCs w:val="21"/>
              </w:rPr>
              <w:t>U.S. individual tax returns (1040s) and entity returns (1120, 1120-S, 1065, etc.) that are on extension for the current year are acceptable as long as the filing extensions are provided.</w:t>
            </w:r>
          </w:p>
          <w:p w14:paraId="69829205" w14:textId="77777777" w:rsidR="00F303AE" w:rsidRDefault="00F303AE" w:rsidP="00F303AE">
            <w:pPr>
              <w:pStyle w:val="TableParagraph"/>
              <w:numPr>
                <w:ilvl w:val="1"/>
                <w:numId w:val="28"/>
              </w:numPr>
              <w:autoSpaceDE w:val="0"/>
              <w:autoSpaceDN w:val="0"/>
              <w:ind w:right="571"/>
              <w:contextualSpacing/>
              <w:rPr>
                <w:w w:val="110"/>
                <w:sz w:val="21"/>
                <w:szCs w:val="21"/>
              </w:rPr>
            </w:pPr>
            <w:r>
              <w:rPr>
                <w:w w:val="110"/>
                <w:sz w:val="21"/>
                <w:szCs w:val="21"/>
              </w:rPr>
              <w:t xml:space="preserve">NOTE: Once the extension deadline has passed, the returns MUST be provided. Generally, this date is October 15 of the current year (i.e. 2017 individual and entity tax returns on extension must be filed by October 15, 2018). </w:t>
            </w:r>
          </w:p>
          <w:p w14:paraId="50F5E1AB" w14:textId="5128C00D" w:rsidR="00F303AE" w:rsidRPr="00727C08" w:rsidRDefault="00F303AE" w:rsidP="00F303AE">
            <w:pPr>
              <w:pStyle w:val="TableParagraph"/>
              <w:numPr>
                <w:ilvl w:val="1"/>
                <w:numId w:val="28"/>
              </w:numPr>
              <w:autoSpaceDE w:val="0"/>
              <w:autoSpaceDN w:val="0"/>
              <w:ind w:right="571"/>
              <w:contextualSpacing/>
              <w:rPr>
                <w:w w:val="110"/>
                <w:sz w:val="21"/>
                <w:szCs w:val="21"/>
              </w:rPr>
            </w:pPr>
            <w:r>
              <w:rPr>
                <w:w w:val="110"/>
                <w:sz w:val="21"/>
                <w:szCs w:val="21"/>
              </w:rPr>
              <w:t>If a loan is submitted before the extension deadline but remains in progress once the deadline has passed, the underwriter has discretion to make the tax returns a requirement.</w:t>
            </w:r>
          </w:p>
        </w:tc>
      </w:tr>
      <w:tr w:rsidR="00EC0B05" w:rsidRPr="00EC0B05" w14:paraId="1C08C8B7" w14:textId="77777777" w:rsidTr="0063752F">
        <w:tc>
          <w:tcPr>
            <w:tcW w:w="1336" w:type="pct"/>
          </w:tcPr>
          <w:p w14:paraId="01238F41" w14:textId="53C23E42" w:rsidR="000016AE" w:rsidRPr="00EC0B05" w:rsidRDefault="000016AE" w:rsidP="00471F7C">
            <w:pPr>
              <w:rPr>
                <w:b/>
                <w:sz w:val="21"/>
                <w:szCs w:val="21"/>
              </w:rPr>
            </w:pPr>
            <w:bookmarkStart w:id="104" w:name="tenants"/>
            <w:r w:rsidRPr="00EC0B05">
              <w:rPr>
                <w:b/>
                <w:sz w:val="21"/>
                <w:szCs w:val="21"/>
              </w:rPr>
              <w:t>Tenants in Common</w:t>
            </w:r>
            <w:bookmarkEnd w:id="104"/>
          </w:p>
        </w:tc>
        <w:tc>
          <w:tcPr>
            <w:tcW w:w="3664" w:type="pct"/>
          </w:tcPr>
          <w:p w14:paraId="4C3B5A6C" w14:textId="0FEB8632" w:rsidR="000016AE" w:rsidRPr="00EC0B05" w:rsidRDefault="002D1DA1">
            <w:pPr>
              <w:contextualSpacing/>
              <w:rPr>
                <w:w w:val="110"/>
                <w:sz w:val="21"/>
                <w:szCs w:val="21"/>
              </w:rPr>
            </w:pPr>
            <w:r>
              <w:rPr>
                <w:w w:val="110"/>
                <w:sz w:val="21"/>
                <w:szCs w:val="21"/>
              </w:rPr>
              <w:t>Axos Bank</w:t>
            </w:r>
            <w:r w:rsidR="000016AE" w:rsidRPr="00EC0B05">
              <w:rPr>
                <w:w w:val="110"/>
                <w:sz w:val="21"/>
                <w:szCs w:val="21"/>
              </w:rPr>
              <w:t xml:space="preserve"> does not recognize fractional interests</w:t>
            </w:r>
            <w:r w:rsidR="00E5611A">
              <w:rPr>
                <w:w w:val="110"/>
                <w:sz w:val="21"/>
                <w:szCs w:val="21"/>
              </w:rPr>
              <w:t>.</w:t>
            </w:r>
            <w:r w:rsidR="000016AE" w:rsidRPr="00EC0B05">
              <w:rPr>
                <w:w w:val="110"/>
                <w:sz w:val="21"/>
                <w:szCs w:val="21"/>
              </w:rPr>
              <w:t xml:space="preserve"> </w:t>
            </w:r>
            <w:r w:rsidR="00E5611A" w:rsidRPr="00727C08">
              <w:rPr>
                <w:color w:val="1F161F"/>
                <w:w w:val="110"/>
                <w:sz w:val="21"/>
                <w:szCs w:val="21"/>
              </w:rPr>
              <w:t>When vesting is TIC on a 2-4 unit property, stand</w:t>
            </w:r>
            <w:r w:rsidR="00027213">
              <w:rPr>
                <w:color w:val="1F161F"/>
                <w:w w:val="110"/>
                <w:sz w:val="21"/>
                <w:szCs w:val="21"/>
              </w:rPr>
              <w:t xml:space="preserve">ard documentation is required. </w:t>
            </w:r>
            <w:r w:rsidR="00E5611A" w:rsidRPr="00727C08">
              <w:rPr>
                <w:color w:val="1F161F"/>
                <w:w w:val="110"/>
                <w:sz w:val="21"/>
                <w:szCs w:val="21"/>
              </w:rPr>
              <w:t>All vested owners of the property are required</w:t>
            </w:r>
            <w:r w:rsidR="00027213">
              <w:rPr>
                <w:color w:val="1F161F"/>
                <w:w w:val="110"/>
                <w:sz w:val="21"/>
                <w:szCs w:val="21"/>
              </w:rPr>
              <w:t xml:space="preserve"> to be borrowers on the credit.</w:t>
            </w:r>
            <w:r w:rsidR="00E5611A" w:rsidRPr="00727C08">
              <w:rPr>
                <w:color w:val="1F161F"/>
                <w:w w:val="110"/>
                <w:sz w:val="21"/>
                <w:szCs w:val="21"/>
              </w:rPr>
              <w:t xml:space="preserve"> For refinance transactions, all current vested owners and borrowers must remain the same, no new borrowers may be added to the loan.</w:t>
            </w:r>
          </w:p>
        </w:tc>
      </w:tr>
      <w:tr w:rsidR="00EC0B05" w:rsidRPr="00EC0B05" w14:paraId="23916206" w14:textId="77777777" w:rsidTr="0063752F">
        <w:tc>
          <w:tcPr>
            <w:tcW w:w="1336" w:type="pct"/>
          </w:tcPr>
          <w:p w14:paraId="1808CD81" w14:textId="34D9371B" w:rsidR="000016AE" w:rsidRPr="00EC0B05" w:rsidRDefault="000016AE" w:rsidP="00471F7C">
            <w:pPr>
              <w:rPr>
                <w:b/>
                <w:sz w:val="21"/>
                <w:szCs w:val="21"/>
              </w:rPr>
            </w:pPr>
            <w:bookmarkStart w:id="105" w:name="termite_rpt"/>
            <w:r w:rsidRPr="00EC0B05">
              <w:rPr>
                <w:b/>
                <w:sz w:val="21"/>
                <w:szCs w:val="21"/>
              </w:rPr>
              <w:t>Termite Report</w:t>
            </w:r>
            <w:bookmarkEnd w:id="105"/>
          </w:p>
        </w:tc>
        <w:tc>
          <w:tcPr>
            <w:tcW w:w="3664" w:type="pct"/>
          </w:tcPr>
          <w:p w14:paraId="24C08A1C" w14:textId="77777777" w:rsidR="000016AE" w:rsidRPr="00EC0B05" w:rsidRDefault="000016AE">
            <w:pPr>
              <w:rPr>
                <w:w w:val="110"/>
                <w:sz w:val="21"/>
                <w:szCs w:val="21"/>
              </w:rPr>
            </w:pPr>
            <w:r w:rsidRPr="00EC0B05">
              <w:rPr>
                <w:w w:val="110"/>
                <w:sz w:val="21"/>
                <w:szCs w:val="21"/>
              </w:rPr>
              <w:t>A termite report and clearance is required for the following reasons:</w:t>
            </w:r>
          </w:p>
          <w:p w14:paraId="097F0926" w14:textId="7146E778" w:rsidR="000016AE" w:rsidRPr="00EC0B05" w:rsidRDefault="000016AE" w:rsidP="00A8756A">
            <w:pPr>
              <w:pStyle w:val="ListParagraph"/>
              <w:numPr>
                <w:ilvl w:val="0"/>
                <w:numId w:val="9"/>
              </w:numPr>
              <w:rPr>
                <w:w w:val="110"/>
                <w:sz w:val="21"/>
                <w:szCs w:val="21"/>
              </w:rPr>
            </w:pPr>
            <w:r w:rsidRPr="00EC0B05">
              <w:rPr>
                <w:w w:val="110"/>
                <w:sz w:val="21"/>
                <w:szCs w:val="21"/>
              </w:rPr>
              <w:t>A purcha</w:t>
            </w:r>
            <w:r w:rsidR="0063752F">
              <w:rPr>
                <w:w w:val="110"/>
                <w:sz w:val="21"/>
                <w:szCs w:val="21"/>
              </w:rPr>
              <w:t>se money transaction, if it is required</w:t>
            </w:r>
            <w:r w:rsidRPr="00EC0B05">
              <w:rPr>
                <w:w w:val="110"/>
                <w:sz w:val="21"/>
                <w:szCs w:val="21"/>
              </w:rPr>
              <w:t xml:space="preserve"> in the purchase contract.  </w:t>
            </w:r>
          </w:p>
          <w:p w14:paraId="698EBA63" w14:textId="77777777" w:rsidR="000016AE" w:rsidRPr="00EC0B05" w:rsidRDefault="000016AE" w:rsidP="00A8756A">
            <w:pPr>
              <w:pStyle w:val="ListParagraph"/>
              <w:numPr>
                <w:ilvl w:val="0"/>
                <w:numId w:val="9"/>
              </w:numPr>
              <w:rPr>
                <w:b/>
                <w:sz w:val="21"/>
                <w:szCs w:val="21"/>
              </w:rPr>
            </w:pPr>
            <w:r w:rsidRPr="00EC0B05">
              <w:rPr>
                <w:w w:val="110"/>
                <w:sz w:val="21"/>
                <w:szCs w:val="21"/>
              </w:rPr>
              <w:t>The appraiser recommends a report as a result of a visual inspection.</w:t>
            </w:r>
          </w:p>
        </w:tc>
      </w:tr>
      <w:tr w:rsidR="00EC0B05" w:rsidRPr="00EC0B05" w14:paraId="3F5D77A6" w14:textId="77777777" w:rsidTr="0063752F">
        <w:tc>
          <w:tcPr>
            <w:tcW w:w="1336" w:type="pct"/>
          </w:tcPr>
          <w:p w14:paraId="1B6A55E6" w14:textId="5B9C4386" w:rsidR="00525911" w:rsidRPr="00EC0B05" w:rsidRDefault="0064082F" w:rsidP="00471F7C">
            <w:pPr>
              <w:rPr>
                <w:b/>
              </w:rPr>
            </w:pPr>
            <w:bookmarkStart w:id="106" w:name="Third_Party_Authorization"/>
            <w:r w:rsidRPr="00EC0B05">
              <w:rPr>
                <w:b/>
              </w:rPr>
              <w:t>Third Party Authorization</w:t>
            </w:r>
            <w:bookmarkEnd w:id="106"/>
          </w:p>
        </w:tc>
        <w:tc>
          <w:tcPr>
            <w:tcW w:w="3664" w:type="pct"/>
          </w:tcPr>
          <w:p w14:paraId="596E2A9A" w14:textId="77777777" w:rsidR="0064082F" w:rsidRPr="00EC0B05" w:rsidRDefault="0064082F" w:rsidP="00A8756A">
            <w:pPr>
              <w:pStyle w:val="ListParagraph"/>
              <w:numPr>
                <w:ilvl w:val="0"/>
                <w:numId w:val="45"/>
              </w:numPr>
              <w:rPr>
                <w:sz w:val="21"/>
                <w:szCs w:val="21"/>
              </w:rPr>
            </w:pPr>
            <w:r w:rsidRPr="00EC0B05">
              <w:rPr>
                <w:sz w:val="21"/>
                <w:szCs w:val="21"/>
              </w:rPr>
              <w:t xml:space="preserve">A Third Party Authorization form will be required if the borrower gives permission to a third party for communication and documentation requests only. </w:t>
            </w:r>
          </w:p>
          <w:p w14:paraId="72652BCF" w14:textId="77777777" w:rsidR="0064082F" w:rsidRPr="00EC0B05" w:rsidRDefault="0064082F" w:rsidP="00A8756A">
            <w:pPr>
              <w:pStyle w:val="ListParagraph"/>
              <w:numPr>
                <w:ilvl w:val="0"/>
                <w:numId w:val="45"/>
              </w:numPr>
              <w:rPr>
                <w:sz w:val="21"/>
                <w:szCs w:val="21"/>
              </w:rPr>
            </w:pPr>
            <w:r w:rsidRPr="00EC0B05">
              <w:rPr>
                <w:sz w:val="21"/>
                <w:szCs w:val="21"/>
              </w:rPr>
              <w:t>NOTE: All disclosures and required forms (initial disclosures, appraisal acknowledgments, etc.) must be sent to the borrower for execution (unless an approved POA is on file) </w:t>
            </w:r>
          </w:p>
          <w:p w14:paraId="1AF18A90" w14:textId="5AE5A450" w:rsidR="00525911" w:rsidRPr="0063752F" w:rsidRDefault="00DC39B5" w:rsidP="00A8756A">
            <w:pPr>
              <w:pStyle w:val="ListParagraph"/>
              <w:numPr>
                <w:ilvl w:val="0"/>
                <w:numId w:val="45"/>
              </w:numPr>
              <w:rPr>
                <w:sz w:val="21"/>
                <w:szCs w:val="21"/>
              </w:rPr>
            </w:pPr>
            <w:r w:rsidRPr="00EC0B05">
              <w:rPr>
                <w:sz w:val="21"/>
                <w:szCs w:val="21"/>
              </w:rPr>
              <w:t>Borrower(s) must have their own email address</w:t>
            </w:r>
          </w:p>
        </w:tc>
      </w:tr>
      <w:tr w:rsidR="00EC0B05" w:rsidRPr="00EC0B05" w14:paraId="32216A36" w14:textId="77777777" w:rsidTr="0063752F">
        <w:tc>
          <w:tcPr>
            <w:tcW w:w="1336" w:type="pct"/>
          </w:tcPr>
          <w:p w14:paraId="7FC40420" w14:textId="3C73BB2E" w:rsidR="00012DA1" w:rsidRPr="00EC0B05" w:rsidRDefault="00012DA1" w:rsidP="00471F7C">
            <w:pPr>
              <w:pStyle w:val="NoSpacing"/>
              <w:rPr>
                <w:b/>
              </w:rPr>
            </w:pPr>
            <w:bookmarkStart w:id="107" w:name="Trust_Entity_Vesting"/>
            <w:r w:rsidRPr="00EC0B05">
              <w:rPr>
                <w:b/>
              </w:rPr>
              <w:t>Trust/Entity Vesting</w:t>
            </w:r>
            <w:bookmarkEnd w:id="107"/>
          </w:p>
        </w:tc>
        <w:tc>
          <w:tcPr>
            <w:tcW w:w="3664" w:type="pct"/>
          </w:tcPr>
          <w:p w14:paraId="1DDF4440" w14:textId="1027D298" w:rsidR="003E3B28" w:rsidRPr="00EC0B05" w:rsidRDefault="006E1482">
            <w:pPr>
              <w:rPr>
                <w:w w:val="110"/>
                <w:sz w:val="21"/>
                <w:szCs w:val="21"/>
              </w:rPr>
            </w:pPr>
            <w:r w:rsidRPr="00EC0B05">
              <w:rPr>
                <w:w w:val="110"/>
                <w:sz w:val="21"/>
                <w:szCs w:val="21"/>
              </w:rPr>
              <w:t>P</w:t>
            </w:r>
            <w:r w:rsidR="005C6605" w:rsidRPr="00EC0B05">
              <w:rPr>
                <w:w w:val="110"/>
                <w:sz w:val="21"/>
                <w:szCs w:val="21"/>
              </w:rPr>
              <w:t>r</w:t>
            </w:r>
            <w:r w:rsidRPr="00EC0B05">
              <w:rPr>
                <w:w w:val="110"/>
                <w:sz w:val="21"/>
                <w:szCs w:val="21"/>
              </w:rPr>
              <w:t xml:space="preserve">ovide all entity docs (Trust, LLC paperwork) if loan will be vested in an entity. All items must be reviewed and approved by </w:t>
            </w:r>
            <w:r w:rsidR="002D1DA1">
              <w:rPr>
                <w:w w:val="110"/>
                <w:sz w:val="21"/>
                <w:szCs w:val="21"/>
              </w:rPr>
              <w:t>Axos Bank</w:t>
            </w:r>
            <w:r w:rsidRPr="00EC0B05">
              <w:rPr>
                <w:w w:val="110"/>
                <w:sz w:val="21"/>
                <w:szCs w:val="21"/>
              </w:rPr>
              <w:t xml:space="preserve"> legal dept.</w:t>
            </w:r>
            <w:r w:rsidR="003E3B28" w:rsidRPr="00EC0B05">
              <w:rPr>
                <w:w w:val="110"/>
                <w:sz w:val="21"/>
                <w:szCs w:val="21"/>
              </w:rPr>
              <w:t xml:space="preserve"> </w:t>
            </w:r>
          </w:p>
          <w:p w14:paraId="194A1236" w14:textId="77777777" w:rsidR="006E1482" w:rsidRPr="00EC0B05" w:rsidRDefault="006E1482">
            <w:pPr>
              <w:rPr>
                <w:w w:val="110"/>
                <w:sz w:val="21"/>
                <w:szCs w:val="21"/>
              </w:rPr>
            </w:pPr>
          </w:p>
          <w:p w14:paraId="49A9559E" w14:textId="7D6C3E3B" w:rsidR="00012DA1" w:rsidRPr="00EC0B05" w:rsidRDefault="003E3B28">
            <w:pPr>
              <w:rPr>
                <w:w w:val="110"/>
                <w:sz w:val="21"/>
                <w:szCs w:val="21"/>
              </w:rPr>
            </w:pPr>
            <w:r w:rsidRPr="00EC0B05">
              <w:rPr>
                <w:b/>
                <w:w w:val="110"/>
                <w:sz w:val="21"/>
                <w:szCs w:val="21"/>
                <w:u w:val="single"/>
              </w:rPr>
              <w:t>Trust:</w:t>
            </w:r>
            <w:r w:rsidRPr="00190FC4">
              <w:rPr>
                <w:b/>
                <w:w w:val="110"/>
                <w:sz w:val="21"/>
                <w:szCs w:val="21"/>
              </w:rPr>
              <w:t xml:space="preserve"> </w:t>
            </w:r>
            <w:r w:rsidR="0039560B">
              <w:rPr>
                <w:w w:val="110"/>
                <w:sz w:val="21"/>
                <w:szCs w:val="21"/>
              </w:rPr>
              <w:t>A Trust will not be a borrower or co-borrower. The promissory note must be in the name of an individual and all interest statements, payment coupons, etc., must be issued in the individual’s name. All Trusts are subject to pre-approval by the Bank, which must be provided prior to loan closing.</w:t>
            </w:r>
          </w:p>
          <w:p w14:paraId="3F5FBA88" w14:textId="77777777" w:rsidR="0039560B" w:rsidRDefault="0039560B" w:rsidP="0039560B">
            <w:pPr>
              <w:rPr>
                <w:w w:val="110"/>
                <w:sz w:val="21"/>
                <w:szCs w:val="21"/>
              </w:rPr>
            </w:pPr>
            <w:r w:rsidRPr="00EC0B05">
              <w:rPr>
                <w:w w:val="110"/>
                <w:sz w:val="21"/>
                <w:szCs w:val="21"/>
              </w:rPr>
              <w:t xml:space="preserve">For Title held in a Trust, provide </w:t>
            </w:r>
            <w:r>
              <w:rPr>
                <w:w w:val="110"/>
                <w:sz w:val="21"/>
                <w:szCs w:val="21"/>
              </w:rPr>
              <w:t>the following documentation for review:</w:t>
            </w:r>
            <w:r w:rsidRPr="00EC0B05">
              <w:rPr>
                <w:w w:val="110"/>
                <w:sz w:val="21"/>
                <w:szCs w:val="21"/>
              </w:rPr>
              <w:t xml:space="preserve">  </w:t>
            </w:r>
          </w:p>
          <w:p w14:paraId="5683D08B" w14:textId="77777777" w:rsidR="0039560B" w:rsidRDefault="0039560B" w:rsidP="0039560B">
            <w:pPr>
              <w:pStyle w:val="ListParagraph"/>
              <w:numPr>
                <w:ilvl w:val="1"/>
                <w:numId w:val="22"/>
              </w:numPr>
              <w:ind w:left="694"/>
              <w:rPr>
                <w:w w:val="110"/>
                <w:sz w:val="21"/>
                <w:szCs w:val="21"/>
              </w:rPr>
            </w:pPr>
            <w:r>
              <w:rPr>
                <w:w w:val="110"/>
                <w:sz w:val="21"/>
                <w:szCs w:val="21"/>
              </w:rPr>
              <w:t>Notarized copy of the fully executed and dated trust agreement and any amendments thereto</w:t>
            </w:r>
          </w:p>
          <w:p w14:paraId="19E435DF" w14:textId="77777777" w:rsidR="0039560B" w:rsidRDefault="0039560B" w:rsidP="0039560B">
            <w:pPr>
              <w:pStyle w:val="ListParagraph"/>
              <w:numPr>
                <w:ilvl w:val="1"/>
                <w:numId w:val="22"/>
              </w:numPr>
              <w:ind w:left="694"/>
              <w:rPr>
                <w:w w:val="110"/>
                <w:sz w:val="21"/>
                <w:szCs w:val="21"/>
              </w:rPr>
            </w:pPr>
            <w:r>
              <w:rPr>
                <w:w w:val="110"/>
                <w:sz w:val="21"/>
                <w:szCs w:val="21"/>
              </w:rPr>
              <w:t>Preliminary Title Report</w:t>
            </w:r>
          </w:p>
          <w:p w14:paraId="62F36987" w14:textId="77777777" w:rsidR="0039560B" w:rsidRDefault="0039560B" w:rsidP="0039560B">
            <w:pPr>
              <w:pStyle w:val="ListParagraph"/>
              <w:numPr>
                <w:ilvl w:val="1"/>
                <w:numId w:val="22"/>
              </w:numPr>
              <w:ind w:left="694"/>
              <w:rPr>
                <w:w w:val="110"/>
                <w:sz w:val="21"/>
                <w:szCs w:val="21"/>
              </w:rPr>
            </w:pPr>
            <w:r>
              <w:rPr>
                <w:w w:val="110"/>
                <w:sz w:val="21"/>
                <w:szCs w:val="21"/>
              </w:rPr>
              <w:t>Such other documents and certifications reasonably requested by the Bank or the title company, or as required under state law.</w:t>
            </w:r>
          </w:p>
          <w:p w14:paraId="2F243EC1" w14:textId="77777777" w:rsidR="0039560B" w:rsidRDefault="0039560B" w:rsidP="0039560B">
            <w:pPr>
              <w:rPr>
                <w:w w:val="110"/>
                <w:sz w:val="21"/>
                <w:szCs w:val="21"/>
              </w:rPr>
            </w:pPr>
          </w:p>
          <w:p w14:paraId="1C883C5F" w14:textId="77777777" w:rsidR="0039560B" w:rsidRDefault="0039560B" w:rsidP="0039560B">
            <w:pPr>
              <w:rPr>
                <w:w w:val="110"/>
                <w:sz w:val="21"/>
                <w:szCs w:val="21"/>
              </w:rPr>
            </w:pPr>
            <w:r>
              <w:rPr>
                <w:w w:val="110"/>
                <w:sz w:val="21"/>
                <w:szCs w:val="21"/>
              </w:rPr>
              <w:lastRenderedPageBreak/>
              <w:t>The Bank reserves the right to request additional documents and due diligence materials, including but not limited to, an opinion letter from the Trust’s attorney.</w:t>
            </w:r>
          </w:p>
          <w:p w14:paraId="3180BC37" w14:textId="77777777" w:rsidR="0039560B" w:rsidRDefault="0039560B" w:rsidP="0039560B">
            <w:pPr>
              <w:rPr>
                <w:w w:val="110"/>
                <w:sz w:val="21"/>
                <w:szCs w:val="21"/>
              </w:rPr>
            </w:pPr>
          </w:p>
          <w:p w14:paraId="32C14A32" w14:textId="77777777" w:rsidR="0039560B" w:rsidRDefault="0039560B" w:rsidP="0039560B">
            <w:pPr>
              <w:rPr>
                <w:w w:val="110"/>
                <w:sz w:val="21"/>
                <w:szCs w:val="21"/>
              </w:rPr>
            </w:pPr>
            <w:r>
              <w:rPr>
                <w:w w:val="110"/>
                <w:sz w:val="21"/>
                <w:szCs w:val="21"/>
              </w:rPr>
              <w:t>The trust review carries a $300.00 fee. The Bank retains the right to invoice the Broker for any fees or costs, both third party and internal, related to the review of all loans and trust vesting requests.</w:t>
            </w:r>
          </w:p>
          <w:p w14:paraId="3C482D31" w14:textId="77777777" w:rsidR="0039560B" w:rsidRDefault="0039560B" w:rsidP="0039560B">
            <w:pPr>
              <w:rPr>
                <w:w w:val="110"/>
                <w:sz w:val="21"/>
                <w:szCs w:val="21"/>
              </w:rPr>
            </w:pPr>
          </w:p>
          <w:p w14:paraId="37FA8027" w14:textId="77777777" w:rsidR="0039560B" w:rsidRDefault="0039560B" w:rsidP="0039560B">
            <w:pPr>
              <w:rPr>
                <w:w w:val="110"/>
                <w:sz w:val="21"/>
                <w:szCs w:val="21"/>
              </w:rPr>
            </w:pPr>
            <w:r>
              <w:rPr>
                <w:w w:val="110"/>
                <w:sz w:val="21"/>
                <w:szCs w:val="21"/>
              </w:rPr>
              <w:t>Criteria for the Trust:</w:t>
            </w:r>
          </w:p>
          <w:p w14:paraId="2013195C" w14:textId="77777777" w:rsidR="0039560B" w:rsidRDefault="0039560B" w:rsidP="0039560B">
            <w:pPr>
              <w:pStyle w:val="ListParagraph"/>
              <w:numPr>
                <w:ilvl w:val="0"/>
                <w:numId w:val="82"/>
              </w:numPr>
              <w:rPr>
                <w:w w:val="110"/>
                <w:sz w:val="21"/>
                <w:szCs w:val="21"/>
              </w:rPr>
            </w:pPr>
            <w:r>
              <w:rPr>
                <w:w w:val="110"/>
                <w:sz w:val="21"/>
                <w:szCs w:val="21"/>
              </w:rPr>
              <w:t>The Trust must be established by a written document during the lifetime of the individual(s) establishing the Trust (individually and collectively, the “grantor”) and be effective during the grantor’s lifetime.</w:t>
            </w:r>
          </w:p>
          <w:p w14:paraId="17C092F3" w14:textId="77777777" w:rsidR="0039560B" w:rsidRDefault="0039560B" w:rsidP="0039560B">
            <w:pPr>
              <w:pStyle w:val="ListParagraph"/>
              <w:numPr>
                <w:ilvl w:val="0"/>
                <w:numId w:val="82"/>
              </w:numPr>
              <w:rPr>
                <w:w w:val="110"/>
                <w:sz w:val="21"/>
                <w:szCs w:val="21"/>
              </w:rPr>
            </w:pPr>
            <w:r>
              <w:rPr>
                <w:w w:val="110"/>
                <w:sz w:val="21"/>
                <w:szCs w:val="21"/>
              </w:rPr>
              <w:t>The Bank must receive the entire Trust Agreement, including all amendments and schedules, in executed, dated, and notarized form.</w:t>
            </w:r>
          </w:p>
          <w:p w14:paraId="51D2346A" w14:textId="77777777" w:rsidR="0039560B" w:rsidRDefault="0039560B" w:rsidP="0039560B">
            <w:pPr>
              <w:pStyle w:val="ListParagraph"/>
              <w:numPr>
                <w:ilvl w:val="0"/>
                <w:numId w:val="82"/>
              </w:numPr>
              <w:rPr>
                <w:w w:val="110"/>
                <w:sz w:val="21"/>
                <w:szCs w:val="21"/>
              </w:rPr>
            </w:pPr>
            <w:r>
              <w:rPr>
                <w:w w:val="110"/>
                <w:sz w:val="21"/>
                <w:szCs w:val="21"/>
              </w:rPr>
              <w:t>The loan must be underwritten with at least one individual establishing the Trust as borrower. Additional individuals, including other individuals establishing the Trust, may also be considered co-borrowers if those individuals’ credit will be used to qualify for the loan.</w:t>
            </w:r>
          </w:p>
          <w:p w14:paraId="0831B2EF" w14:textId="77777777" w:rsidR="0039560B" w:rsidRDefault="0039560B" w:rsidP="0039560B">
            <w:pPr>
              <w:pStyle w:val="ListParagraph"/>
              <w:numPr>
                <w:ilvl w:val="0"/>
                <w:numId w:val="82"/>
              </w:numPr>
              <w:rPr>
                <w:w w:val="110"/>
                <w:sz w:val="21"/>
                <w:szCs w:val="21"/>
              </w:rPr>
            </w:pPr>
            <w:r>
              <w:rPr>
                <w:w w:val="110"/>
                <w:sz w:val="21"/>
                <w:szCs w:val="21"/>
              </w:rPr>
              <w:t>The Trust must be one in which the grantor has reserved to himself or herself the right to revoke the trust during the grantor’s lifetime.</w:t>
            </w:r>
          </w:p>
          <w:p w14:paraId="75AA27EE" w14:textId="77777777" w:rsidR="0039560B" w:rsidRDefault="0039560B" w:rsidP="0039560B">
            <w:pPr>
              <w:pStyle w:val="ListParagraph"/>
              <w:numPr>
                <w:ilvl w:val="0"/>
                <w:numId w:val="82"/>
              </w:numPr>
              <w:rPr>
                <w:w w:val="110"/>
                <w:sz w:val="21"/>
                <w:szCs w:val="21"/>
              </w:rPr>
            </w:pPr>
            <w:r>
              <w:rPr>
                <w:w w:val="110"/>
                <w:sz w:val="21"/>
                <w:szCs w:val="21"/>
              </w:rPr>
              <w:t>The primary beneficiary of the Trust must be the grantor. If the Trust is established jointly by more than one grantor, there may be more than one primary beneficiary.</w:t>
            </w:r>
          </w:p>
          <w:p w14:paraId="1BCABCA4" w14:textId="77777777" w:rsidR="0039560B" w:rsidRDefault="0039560B" w:rsidP="0039560B">
            <w:pPr>
              <w:pStyle w:val="ListParagraph"/>
              <w:numPr>
                <w:ilvl w:val="0"/>
                <w:numId w:val="82"/>
              </w:numPr>
              <w:rPr>
                <w:w w:val="110"/>
                <w:sz w:val="21"/>
                <w:szCs w:val="21"/>
              </w:rPr>
            </w:pPr>
            <w:r>
              <w:rPr>
                <w:w w:val="110"/>
                <w:sz w:val="21"/>
                <w:szCs w:val="21"/>
              </w:rPr>
              <w:t>The Trust document must name one or more trustees to hold legal title to, and manage, the property that has been placed in the Trust. The trustees must include either the grantor (or at least one of the grantors, if there are two or more) or an institutional trustee that customarily performs trust functions and is authorized to act as trustee under the laws of the relevant state.</w:t>
            </w:r>
          </w:p>
          <w:p w14:paraId="4BB397B3" w14:textId="77777777" w:rsidR="0039560B" w:rsidRDefault="0039560B" w:rsidP="0039560B">
            <w:pPr>
              <w:pStyle w:val="ListParagraph"/>
              <w:numPr>
                <w:ilvl w:val="0"/>
                <w:numId w:val="82"/>
              </w:numPr>
              <w:rPr>
                <w:w w:val="110"/>
                <w:sz w:val="21"/>
                <w:szCs w:val="21"/>
              </w:rPr>
            </w:pPr>
            <w:r>
              <w:rPr>
                <w:w w:val="110"/>
                <w:sz w:val="21"/>
                <w:szCs w:val="21"/>
              </w:rPr>
              <w:t xml:space="preserve">The trustee(s) must have the power to mortgage the security property for the purpose of securing a loan to the natural person(s) who are “borrower(s)” under the mortgage or deed of trust note. </w:t>
            </w:r>
          </w:p>
          <w:p w14:paraId="43CF89BD" w14:textId="77777777" w:rsidR="0039560B" w:rsidRDefault="0039560B" w:rsidP="0039560B">
            <w:pPr>
              <w:pStyle w:val="ListParagraph"/>
              <w:numPr>
                <w:ilvl w:val="0"/>
                <w:numId w:val="82"/>
              </w:numPr>
              <w:rPr>
                <w:w w:val="110"/>
                <w:sz w:val="21"/>
                <w:szCs w:val="21"/>
              </w:rPr>
            </w:pPr>
            <w:r>
              <w:rPr>
                <w:w w:val="110"/>
                <w:sz w:val="21"/>
                <w:szCs w:val="21"/>
              </w:rPr>
              <w:t xml:space="preserve">At least one grantor of the trust must execute the Note. The individual(s) executing the note must be the person(s) whose income and assets were used to qualify for the loan. </w:t>
            </w:r>
          </w:p>
          <w:p w14:paraId="0BE3FE17" w14:textId="77777777" w:rsidR="0039560B" w:rsidRDefault="0039560B" w:rsidP="0039560B">
            <w:pPr>
              <w:pStyle w:val="ListParagraph"/>
              <w:numPr>
                <w:ilvl w:val="0"/>
                <w:numId w:val="82"/>
              </w:numPr>
              <w:rPr>
                <w:w w:val="110"/>
                <w:sz w:val="21"/>
                <w:szCs w:val="21"/>
              </w:rPr>
            </w:pPr>
            <w:r>
              <w:rPr>
                <w:w w:val="110"/>
                <w:sz w:val="21"/>
                <w:szCs w:val="21"/>
              </w:rPr>
              <w:t>The trustee(s) of the trust must have the ability to mortgage the property and the lender must be able to enforce its rights under the mortgage.</w:t>
            </w:r>
          </w:p>
          <w:p w14:paraId="44977772" w14:textId="77777777" w:rsidR="0039560B" w:rsidRDefault="0039560B" w:rsidP="0039560B">
            <w:pPr>
              <w:rPr>
                <w:w w:val="110"/>
                <w:sz w:val="21"/>
                <w:szCs w:val="21"/>
              </w:rPr>
            </w:pPr>
          </w:p>
          <w:p w14:paraId="01CE2802" w14:textId="77777777" w:rsidR="0039560B" w:rsidRDefault="0039560B" w:rsidP="0039560B">
            <w:pPr>
              <w:rPr>
                <w:w w:val="110"/>
                <w:sz w:val="21"/>
                <w:szCs w:val="21"/>
              </w:rPr>
            </w:pPr>
            <w:r>
              <w:rPr>
                <w:w w:val="110"/>
                <w:sz w:val="21"/>
                <w:szCs w:val="21"/>
              </w:rPr>
              <w:t>Criteria for the Mortgage:</w:t>
            </w:r>
          </w:p>
          <w:p w14:paraId="5CE1952A" w14:textId="77777777" w:rsidR="0039560B" w:rsidRDefault="0039560B" w:rsidP="0039560B">
            <w:pPr>
              <w:pStyle w:val="ListParagraph"/>
              <w:numPr>
                <w:ilvl w:val="0"/>
                <w:numId w:val="83"/>
              </w:numPr>
              <w:rPr>
                <w:w w:val="110"/>
                <w:sz w:val="21"/>
                <w:szCs w:val="21"/>
              </w:rPr>
            </w:pPr>
            <w:r>
              <w:rPr>
                <w:w w:val="110"/>
                <w:sz w:val="21"/>
                <w:szCs w:val="21"/>
              </w:rPr>
              <w:t>All property and occupancy types are eligible. For properties that are the borrower’s principal residence, at least one individual establishing the Trust must occupy the security property and sign the loan documents.</w:t>
            </w:r>
          </w:p>
          <w:p w14:paraId="55244E31" w14:textId="77777777" w:rsidR="0039560B" w:rsidRDefault="0039560B" w:rsidP="0039560B">
            <w:pPr>
              <w:pStyle w:val="ListParagraph"/>
              <w:numPr>
                <w:ilvl w:val="0"/>
                <w:numId w:val="83"/>
              </w:numPr>
              <w:rPr>
                <w:w w:val="110"/>
                <w:sz w:val="21"/>
                <w:szCs w:val="21"/>
              </w:rPr>
            </w:pPr>
            <w:r>
              <w:rPr>
                <w:w w:val="110"/>
                <w:sz w:val="21"/>
                <w:szCs w:val="21"/>
              </w:rPr>
              <w:t xml:space="preserve">Title held in the Trust may not in any way diminish the rights of Axos Federal Bank and/or its successors and assigns as a creditor, including the right to have full title to the property vested in Axos Federal Bank and/or its successors and assigns should foreclosure proceedings have to be initiated to cure a default under the terms of the mortgage. </w:t>
            </w:r>
          </w:p>
          <w:p w14:paraId="6CD887CA" w14:textId="77777777" w:rsidR="0039560B" w:rsidRDefault="0039560B" w:rsidP="0039560B">
            <w:pPr>
              <w:pStyle w:val="ListParagraph"/>
              <w:numPr>
                <w:ilvl w:val="0"/>
                <w:numId w:val="83"/>
              </w:numPr>
              <w:rPr>
                <w:w w:val="110"/>
                <w:sz w:val="21"/>
                <w:szCs w:val="21"/>
              </w:rPr>
            </w:pPr>
            <w:r>
              <w:rPr>
                <w:w w:val="110"/>
                <w:sz w:val="21"/>
                <w:szCs w:val="21"/>
              </w:rPr>
              <w:t>Title insurance fully insures the transaction and the title insurance policy does not list any exceptions with respect to the trustee(s) holding title to the security property or to the Trust.</w:t>
            </w:r>
          </w:p>
          <w:p w14:paraId="49DE2FFE" w14:textId="77777777" w:rsidR="0039560B" w:rsidRDefault="0039560B" w:rsidP="0039560B">
            <w:pPr>
              <w:pStyle w:val="ListParagraph"/>
              <w:numPr>
                <w:ilvl w:val="0"/>
                <w:numId w:val="83"/>
              </w:numPr>
              <w:rPr>
                <w:w w:val="110"/>
                <w:sz w:val="21"/>
                <w:szCs w:val="21"/>
              </w:rPr>
            </w:pPr>
            <w:r>
              <w:rPr>
                <w:w w:val="110"/>
                <w:sz w:val="21"/>
                <w:szCs w:val="21"/>
              </w:rPr>
              <w:lastRenderedPageBreak/>
              <w:t>Title to the security property is vested solely in the trustee(s) of the inter vivos revocable trust, jointly in the trustee(s) of the inter vivos revocable trust and in the name(s) of the individual borrower(s), or in the trustee(s) of more than one inter vivos revocable trust.</w:t>
            </w:r>
          </w:p>
          <w:p w14:paraId="6BE3F46B" w14:textId="77777777" w:rsidR="0039560B" w:rsidRDefault="0039560B" w:rsidP="0039560B">
            <w:pPr>
              <w:rPr>
                <w:w w:val="110"/>
                <w:sz w:val="21"/>
                <w:szCs w:val="21"/>
              </w:rPr>
            </w:pPr>
          </w:p>
          <w:p w14:paraId="2324A236" w14:textId="77777777" w:rsidR="0039560B" w:rsidRDefault="0039560B" w:rsidP="0039560B">
            <w:pPr>
              <w:rPr>
                <w:w w:val="110"/>
                <w:sz w:val="21"/>
                <w:szCs w:val="21"/>
              </w:rPr>
            </w:pPr>
            <w:r>
              <w:rPr>
                <w:w w:val="110"/>
                <w:sz w:val="21"/>
                <w:szCs w:val="21"/>
              </w:rPr>
              <w:t xml:space="preserve">NOTE: Vesting in Qualified Personal Residence Trusts (QPRTs) will be considered for approval on a case-by-case basis. </w:t>
            </w:r>
          </w:p>
          <w:p w14:paraId="4F6FB67A" w14:textId="77777777" w:rsidR="0039560B" w:rsidRDefault="0039560B" w:rsidP="0039560B">
            <w:pPr>
              <w:rPr>
                <w:w w:val="110"/>
                <w:sz w:val="21"/>
                <w:szCs w:val="21"/>
              </w:rPr>
            </w:pPr>
          </w:p>
          <w:p w14:paraId="0BB83D64" w14:textId="77777777" w:rsidR="0039560B" w:rsidRDefault="0039560B" w:rsidP="0039560B">
            <w:pPr>
              <w:rPr>
                <w:w w:val="110"/>
                <w:sz w:val="21"/>
                <w:szCs w:val="21"/>
              </w:rPr>
            </w:pPr>
            <w:r>
              <w:rPr>
                <w:w w:val="110"/>
                <w:sz w:val="21"/>
                <w:szCs w:val="21"/>
              </w:rPr>
              <w:t>Criteria for QPRTs:</w:t>
            </w:r>
          </w:p>
          <w:p w14:paraId="3617DB5A" w14:textId="77777777" w:rsidR="0039560B" w:rsidRDefault="0039560B" w:rsidP="0039560B">
            <w:pPr>
              <w:pStyle w:val="ListParagraph"/>
              <w:numPr>
                <w:ilvl w:val="0"/>
                <w:numId w:val="84"/>
              </w:numPr>
              <w:rPr>
                <w:w w:val="110"/>
                <w:sz w:val="21"/>
                <w:szCs w:val="21"/>
              </w:rPr>
            </w:pPr>
            <w:r>
              <w:rPr>
                <w:w w:val="110"/>
                <w:sz w:val="21"/>
                <w:szCs w:val="21"/>
              </w:rPr>
              <w:t xml:space="preserve">The Trust must be established by a written document during the lifetime of the individual(s) establishing the Trust (individually and collectively, the “grantor”). The entire Trust Agreement, including all addenda, must be submitted to the Bank and the agreement must be executed by all parties, dated and notarized. </w:t>
            </w:r>
          </w:p>
          <w:p w14:paraId="4C46E41C" w14:textId="77777777" w:rsidR="0039560B" w:rsidRDefault="0039560B" w:rsidP="0039560B">
            <w:pPr>
              <w:pStyle w:val="ListParagraph"/>
              <w:numPr>
                <w:ilvl w:val="0"/>
                <w:numId w:val="84"/>
              </w:numPr>
              <w:rPr>
                <w:w w:val="110"/>
                <w:sz w:val="21"/>
                <w:szCs w:val="21"/>
              </w:rPr>
            </w:pPr>
            <w:r>
              <w:rPr>
                <w:w w:val="110"/>
                <w:sz w:val="21"/>
                <w:szCs w:val="21"/>
              </w:rPr>
              <w:t xml:space="preserve">The Trust will normally have a set term. If the term of the Trust is shorter than the term of the note, all beneficiaries must execute the Note and mortgage. The beneficiaries must have the legal capacity to be bound to the Note and mortgage (i.e. minors cannot execute). </w:t>
            </w:r>
          </w:p>
          <w:p w14:paraId="56A9ECE6" w14:textId="77777777" w:rsidR="0039560B" w:rsidRDefault="0039560B" w:rsidP="0039560B">
            <w:pPr>
              <w:pStyle w:val="ListParagraph"/>
              <w:numPr>
                <w:ilvl w:val="0"/>
                <w:numId w:val="84"/>
              </w:numPr>
              <w:rPr>
                <w:w w:val="110"/>
                <w:sz w:val="21"/>
                <w:szCs w:val="21"/>
              </w:rPr>
            </w:pPr>
            <w:r>
              <w:rPr>
                <w:w w:val="110"/>
                <w:sz w:val="21"/>
                <w:szCs w:val="21"/>
              </w:rPr>
              <w:t xml:space="preserve">The primary beneficiary of the Trust will normally be someone other than the grantor. The beneficiary may not have any powers to control the Trust. </w:t>
            </w:r>
          </w:p>
          <w:p w14:paraId="4FF20E84" w14:textId="77777777" w:rsidR="0039560B" w:rsidRDefault="0039560B" w:rsidP="0039560B">
            <w:pPr>
              <w:pStyle w:val="ListParagraph"/>
              <w:numPr>
                <w:ilvl w:val="0"/>
                <w:numId w:val="84"/>
              </w:numPr>
              <w:rPr>
                <w:w w:val="110"/>
                <w:sz w:val="21"/>
                <w:szCs w:val="21"/>
              </w:rPr>
            </w:pPr>
            <w:r>
              <w:rPr>
                <w:w w:val="110"/>
                <w:sz w:val="21"/>
                <w:szCs w:val="21"/>
              </w:rPr>
              <w:t xml:space="preserve">The Trust document must name one or more trustees to hold legal title to, and manage, the property that has been placed in the Trust. </w:t>
            </w:r>
          </w:p>
          <w:p w14:paraId="1423CB6D" w14:textId="77777777" w:rsidR="0039560B" w:rsidRDefault="0039560B" w:rsidP="0039560B">
            <w:pPr>
              <w:pStyle w:val="ListParagraph"/>
              <w:numPr>
                <w:ilvl w:val="0"/>
                <w:numId w:val="84"/>
              </w:numPr>
              <w:rPr>
                <w:w w:val="110"/>
                <w:sz w:val="21"/>
                <w:szCs w:val="21"/>
              </w:rPr>
            </w:pPr>
            <w:r>
              <w:rPr>
                <w:w w:val="110"/>
                <w:sz w:val="21"/>
                <w:szCs w:val="21"/>
              </w:rPr>
              <w:t>The trustee(s) must have the power to mortgage the security property for the purpose of securing a loan to the natural person “borrower(s)” under the mortgage or deed of trust Note.</w:t>
            </w:r>
          </w:p>
          <w:p w14:paraId="3C3FD689" w14:textId="77777777" w:rsidR="0039560B" w:rsidRDefault="0039560B" w:rsidP="0039560B">
            <w:pPr>
              <w:pStyle w:val="ListParagraph"/>
              <w:numPr>
                <w:ilvl w:val="0"/>
                <w:numId w:val="84"/>
              </w:numPr>
              <w:rPr>
                <w:w w:val="110"/>
                <w:sz w:val="21"/>
                <w:szCs w:val="21"/>
              </w:rPr>
            </w:pPr>
            <w:r>
              <w:rPr>
                <w:w w:val="110"/>
                <w:sz w:val="21"/>
                <w:szCs w:val="21"/>
              </w:rPr>
              <w:t>The grantor and the trustees of the Trust must execute the Note. The individuals executing the Note must be the persons whose income and assets were used to qualify for the loan. If real property is in a community property state, the spouse must sign the Note.</w:t>
            </w:r>
          </w:p>
          <w:p w14:paraId="7816199C" w14:textId="77777777" w:rsidR="0039560B" w:rsidRDefault="0039560B" w:rsidP="0039560B">
            <w:pPr>
              <w:pStyle w:val="ListParagraph"/>
              <w:numPr>
                <w:ilvl w:val="0"/>
                <w:numId w:val="84"/>
              </w:numPr>
              <w:rPr>
                <w:w w:val="110"/>
                <w:sz w:val="21"/>
                <w:szCs w:val="21"/>
              </w:rPr>
            </w:pPr>
            <w:r>
              <w:rPr>
                <w:w w:val="110"/>
                <w:sz w:val="21"/>
                <w:szCs w:val="21"/>
              </w:rPr>
              <w:t xml:space="preserve">The trustee(s) of the Trust must have the ability to mortgage the property and the lender must be able to enforce its rights under the mortgage. </w:t>
            </w:r>
          </w:p>
          <w:p w14:paraId="02E17FB2" w14:textId="77777777" w:rsidR="0039560B" w:rsidRDefault="0039560B" w:rsidP="0039560B">
            <w:pPr>
              <w:rPr>
                <w:w w:val="110"/>
                <w:sz w:val="21"/>
                <w:szCs w:val="21"/>
              </w:rPr>
            </w:pPr>
          </w:p>
          <w:p w14:paraId="1FEC7342" w14:textId="77777777" w:rsidR="0039560B" w:rsidRDefault="0039560B" w:rsidP="0039560B">
            <w:pPr>
              <w:rPr>
                <w:w w:val="110"/>
                <w:sz w:val="21"/>
                <w:szCs w:val="21"/>
              </w:rPr>
            </w:pPr>
            <w:r>
              <w:rPr>
                <w:w w:val="110"/>
                <w:sz w:val="21"/>
                <w:szCs w:val="21"/>
              </w:rPr>
              <w:t>Criteria for a Mortgage Vested in a QPRT:</w:t>
            </w:r>
          </w:p>
          <w:p w14:paraId="4D0E692B" w14:textId="77777777" w:rsidR="0039560B" w:rsidRDefault="0039560B" w:rsidP="0039560B">
            <w:pPr>
              <w:pStyle w:val="ListParagraph"/>
              <w:numPr>
                <w:ilvl w:val="0"/>
                <w:numId w:val="85"/>
              </w:numPr>
              <w:rPr>
                <w:w w:val="110"/>
                <w:sz w:val="21"/>
                <w:szCs w:val="21"/>
              </w:rPr>
            </w:pPr>
            <w:r>
              <w:rPr>
                <w:w w:val="110"/>
                <w:sz w:val="21"/>
                <w:szCs w:val="21"/>
              </w:rPr>
              <w:t xml:space="preserve">The security property must be a one-family principal residence that is occupied by at least one of the grantors (and whose income or assets are used to qualify for the mortgage) or a one-family second home. </w:t>
            </w:r>
          </w:p>
          <w:p w14:paraId="3CE57E53" w14:textId="77777777" w:rsidR="0039560B" w:rsidRDefault="0039560B" w:rsidP="0039560B">
            <w:pPr>
              <w:pStyle w:val="ListParagraph"/>
              <w:numPr>
                <w:ilvl w:val="0"/>
                <w:numId w:val="85"/>
              </w:numPr>
              <w:rPr>
                <w:w w:val="110"/>
                <w:sz w:val="21"/>
                <w:szCs w:val="21"/>
              </w:rPr>
            </w:pPr>
            <w:r>
              <w:rPr>
                <w:w w:val="110"/>
                <w:sz w:val="21"/>
                <w:szCs w:val="21"/>
              </w:rPr>
              <w:t xml:space="preserve">Full title to the security property must be vested in the trustee(s) of the Trust. There may be no other owners. </w:t>
            </w:r>
          </w:p>
          <w:p w14:paraId="4B2BF89D" w14:textId="77777777" w:rsidR="0039560B" w:rsidRDefault="0039560B" w:rsidP="0039560B">
            <w:pPr>
              <w:pStyle w:val="ListParagraph"/>
              <w:numPr>
                <w:ilvl w:val="0"/>
                <w:numId w:val="85"/>
              </w:numPr>
              <w:rPr>
                <w:w w:val="110"/>
                <w:sz w:val="21"/>
                <w:szCs w:val="21"/>
              </w:rPr>
            </w:pPr>
            <w:r>
              <w:rPr>
                <w:w w:val="110"/>
                <w:sz w:val="21"/>
                <w:szCs w:val="21"/>
              </w:rPr>
              <w:t xml:space="preserve">The title insurance policy must assure full title protection and must state that title to the security property is vested in the trustee(s) of the Trust. There may not be any title policy exceptions with respect to the trustee(s) holding title to the security property or to the Trust. </w:t>
            </w:r>
          </w:p>
          <w:p w14:paraId="00466A7D" w14:textId="70ED7D4B" w:rsidR="003E3B28" w:rsidRDefault="0039560B" w:rsidP="0039560B">
            <w:pPr>
              <w:rPr>
                <w:w w:val="110"/>
                <w:sz w:val="21"/>
                <w:szCs w:val="21"/>
              </w:rPr>
            </w:pPr>
            <w:r>
              <w:rPr>
                <w:w w:val="110"/>
                <w:sz w:val="21"/>
                <w:szCs w:val="21"/>
              </w:rPr>
              <w:t>The mortgage must be underwritten as if the grantor (or at least one of the grantors, if there are two or more) were the borrower (or a co-borrower, if there are additional individuals whose income or assets will be used to qualify for the mortgage).</w:t>
            </w:r>
          </w:p>
          <w:p w14:paraId="61EC936A" w14:textId="77777777" w:rsidR="0039560B" w:rsidRPr="00EC0B05" w:rsidRDefault="0039560B" w:rsidP="0039560B">
            <w:pPr>
              <w:rPr>
                <w:b/>
                <w:w w:val="110"/>
                <w:sz w:val="21"/>
                <w:szCs w:val="21"/>
                <w:u w:val="single"/>
              </w:rPr>
            </w:pPr>
          </w:p>
          <w:p w14:paraId="6AD4D67D" w14:textId="7929D8E9" w:rsidR="003E3B28" w:rsidRPr="003A3FDF" w:rsidRDefault="003E3B28">
            <w:pPr>
              <w:rPr>
                <w:b/>
                <w:w w:val="110"/>
                <w:sz w:val="21"/>
                <w:szCs w:val="21"/>
                <w:u w:val="single"/>
              </w:rPr>
            </w:pPr>
            <w:r w:rsidRPr="00EC0B05">
              <w:rPr>
                <w:b/>
                <w:w w:val="110"/>
                <w:sz w:val="21"/>
                <w:szCs w:val="21"/>
                <w:u w:val="single"/>
              </w:rPr>
              <w:t>Entity:</w:t>
            </w:r>
            <w:r w:rsidRPr="00190FC4">
              <w:rPr>
                <w:b/>
                <w:w w:val="110"/>
                <w:sz w:val="21"/>
                <w:szCs w:val="21"/>
              </w:rPr>
              <w:t xml:space="preserve"> </w:t>
            </w:r>
            <w:r w:rsidRPr="00EC0B05">
              <w:rPr>
                <w:w w:val="110"/>
                <w:sz w:val="21"/>
                <w:szCs w:val="21"/>
              </w:rPr>
              <w:t>For Title held in an Entity provide the documents listed below</w:t>
            </w:r>
            <w:r w:rsidR="00190FC4">
              <w:rPr>
                <w:w w:val="110"/>
                <w:sz w:val="21"/>
                <w:szCs w:val="21"/>
              </w:rPr>
              <w:t>:</w:t>
            </w:r>
          </w:p>
          <w:p w14:paraId="02356144" w14:textId="586256AF" w:rsidR="003E3B28" w:rsidRPr="003A3FDF" w:rsidRDefault="003E3B28" w:rsidP="00A8756A">
            <w:pPr>
              <w:pStyle w:val="ListParagraph"/>
              <w:numPr>
                <w:ilvl w:val="0"/>
                <w:numId w:val="77"/>
              </w:numPr>
              <w:rPr>
                <w:w w:val="110"/>
                <w:sz w:val="21"/>
                <w:szCs w:val="21"/>
              </w:rPr>
            </w:pPr>
            <w:r w:rsidRPr="003A3FDF">
              <w:rPr>
                <w:w w:val="110"/>
                <w:sz w:val="21"/>
                <w:szCs w:val="21"/>
              </w:rPr>
              <w:lastRenderedPageBreak/>
              <w:t xml:space="preserve"> Filed Articles of Organization/Certificate of Formation, including all amendments (or equivalent document required by the state to register a LLC).</w:t>
            </w:r>
          </w:p>
          <w:p w14:paraId="54E117E3" w14:textId="25FDAFEA" w:rsidR="003E3B28" w:rsidRPr="003A3FDF" w:rsidRDefault="003E3B28" w:rsidP="00A8756A">
            <w:pPr>
              <w:pStyle w:val="ListParagraph"/>
              <w:numPr>
                <w:ilvl w:val="0"/>
                <w:numId w:val="77"/>
              </w:numPr>
              <w:rPr>
                <w:w w:val="110"/>
                <w:sz w:val="21"/>
                <w:szCs w:val="21"/>
              </w:rPr>
            </w:pPr>
            <w:r w:rsidRPr="003A3FDF">
              <w:rPr>
                <w:w w:val="110"/>
                <w:sz w:val="21"/>
                <w:szCs w:val="21"/>
              </w:rPr>
              <w:t>Certificate of Good Standing (or equivalent document) issued from the state in which the LLC is organized.  The certificate cannot be dated more than 60 days prior to closing</w:t>
            </w:r>
          </w:p>
          <w:p w14:paraId="5A5E436C" w14:textId="07EAB630" w:rsidR="003E3B28" w:rsidRPr="003A3FDF" w:rsidRDefault="003E3B28" w:rsidP="00A8756A">
            <w:pPr>
              <w:pStyle w:val="ListParagraph"/>
              <w:numPr>
                <w:ilvl w:val="0"/>
                <w:numId w:val="77"/>
              </w:numPr>
              <w:rPr>
                <w:w w:val="110"/>
                <w:sz w:val="21"/>
                <w:szCs w:val="21"/>
              </w:rPr>
            </w:pPr>
            <w:r w:rsidRPr="003A3FDF">
              <w:rPr>
                <w:w w:val="110"/>
                <w:sz w:val="21"/>
                <w:szCs w:val="21"/>
              </w:rPr>
              <w:t>Signed Operating Agreement, including all amendments, attachments and schedules, if any.  The Operating Agreement must provide the term of the LLC and have a stated purpose that will allow ownership of property, the right to borrower and the right to mortgage property. [NOTE: should the LLC not have an operating agreement pursuant to its state law, a Member Certificate shall be required.]</w:t>
            </w:r>
          </w:p>
          <w:p w14:paraId="6D4D5C8D" w14:textId="37946DA7" w:rsidR="003E3B28" w:rsidRPr="003A3FDF" w:rsidRDefault="003E3B28" w:rsidP="00A8756A">
            <w:pPr>
              <w:pStyle w:val="ListParagraph"/>
              <w:numPr>
                <w:ilvl w:val="0"/>
                <w:numId w:val="77"/>
              </w:numPr>
              <w:rPr>
                <w:w w:val="110"/>
                <w:sz w:val="21"/>
                <w:szCs w:val="21"/>
              </w:rPr>
            </w:pPr>
            <w:r w:rsidRPr="003A3FDF">
              <w:rPr>
                <w:w w:val="110"/>
                <w:sz w:val="21"/>
                <w:szCs w:val="21"/>
              </w:rPr>
              <w:t>Resolution of Unanimous Consent of the Member(s) of the LLC.  The resolution must specifically identify the property, approve the mortgaging of said property and the execution of documents to effect said mortgage.  The resolution must also designate a member who shall execute all documents on behalf of the LLC and include a witnessed incumbency signature section (designated member provides sample of his/her signature).  (Sample available)</w:t>
            </w:r>
          </w:p>
          <w:p w14:paraId="4BE470A7" w14:textId="7CA773A7" w:rsidR="003E3B28" w:rsidRPr="003A3FDF" w:rsidRDefault="003E3B28" w:rsidP="00A8756A">
            <w:pPr>
              <w:pStyle w:val="ListParagraph"/>
              <w:numPr>
                <w:ilvl w:val="0"/>
                <w:numId w:val="77"/>
              </w:numPr>
              <w:rPr>
                <w:w w:val="110"/>
                <w:sz w:val="21"/>
                <w:szCs w:val="21"/>
              </w:rPr>
            </w:pPr>
            <w:r w:rsidRPr="003A3FDF">
              <w:rPr>
                <w:w w:val="110"/>
                <w:sz w:val="21"/>
                <w:szCs w:val="21"/>
              </w:rPr>
              <w:t>A complete Member List showing all Members and their respective ownership interests.</w:t>
            </w:r>
          </w:p>
          <w:p w14:paraId="15C29202" w14:textId="0682C750" w:rsidR="003E3B28" w:rsidRPr="003A3FDF" w:rsidRDefault="003E3B28" w:rsidP="00A8756A">
            <w:pPr>
              <w:pStyle w:val="ListParagraph"/>
              <w:numPr>
                <w:ilvl w:val="0"/>
                <w:numId w:val="77"/>
              </w:numPr>
              <w:rPr>
                <w:w w:val="110"/>
                <w:sz w:val="21"/>
                <w:szCs w:val="21"/>
              </w:rPr>
            </w:pPr>
            <w:r w:rsidRPr="003A3FDF">
              <w:rPr>
                <w:w w:val="110"/>
                <w:sz w:val="21"/>
                <w:szCs w:val="21"/>
              </w:rPr>
              <w:t>If the property is located in a state other than the state in which the Limited Partnership is organized, the following documents issued from the state in which the property is located shall also be provided:</w:t>
            </w:r>
          </w:p>
          <w:p w14:paraId="64681A4F" w14:textId="53038118" w:rsidR="003E3B28" w:rsidRPr="003A3FDF" w:rsidRDefault="003E3B28" w:rsidP="00A8756A">
            <w:pPr>
              <w:pStyle w:val="ListParagraph"/>
              <w:numPr>
                <w:ilvl w:val="0"/>
                <w:numId w:val="77"/>
              </w:numPr>
              <w:rPr>
                <w:w w:val="110"/>
                <w:sz w:val="21"/>
                <w:szCs w:val="21"/>
              </w:rPr>
            </w:pPr>
            <w:r w:rsidRPr="003A3FDF">
              <w:rPr>
                <w:w w:val="110"/>
                <w:sz w:val="21"/>
                <w:szCs w:val="21"/>
              </w:rPr>
              <w:t>A filed Certificate of Authority (or equivalent document) showing the LLC is properly registered in that state.</w:t>
            </w:r>
          </w:p>
          <w:p w14:paraId="22DEC205" w14:textId="6C8F5254" w:rsidR="003E3B28" w:rsidRPr="003A3FDF" w:rsidRDefault="003E3B28" w:rsidP="00A8756A">
            <w:pPr>
              <w:pStyle w:val="ListParagraph"/>
              <w:numPr>
                <w:ilvl w:val="0"/>
                <w:numId w:val="77"/>
              </w:numPr>
              <w:rPr>
                <w:w w:val="110"/>
                <w:sz w:val="21"/>
                <w:szCs w:val="21"/>
              </w:rPr>
            </w:pPr>
            <w:r w:rsidRPr="003A3FDF">
              <w:rPr>
                <w:w w:val="110"/>
                <w:sz w:val="21"/>
                <w:szCs w:val="21"/>
              </w:rPr>
              <w:t>If the LLC's ownership includes a non-natural person, documents concerning that entity may also be required to be submitted for review.</w:t>
            </w:r>
          </w:p>
          <w:p w14:paraId="38FBE232" w14:textId="492F5886" w:rsidR="003A3FDF" w:rsidRPr="00027213" w:rsidRDefault="00190FC4" w:rsidP="00027213">
            <w:pPr>
              <w:pStyle w:val="ListParagraph"/>
              <w:numPr>
                <w:ilvl w:val="0"/>
                <w:numId w:val="77"/>
              </w:numPr>
              <w:rPr>
                <w:w w:val="110"/>
                <w:sz w:val="21"/>
                <w:szCs w:val="21"/>
              </w:rPr>
            </w:pPr>
            <w:r w:rsidRPr="00190FC4">
              <w:rPr>
                <w:w w:val="110"/>
                <w:sz w:val="21"/>
                <w:szCs w:val="21"/>
              </w:rPr>
              <w:t>An attorney opinion letter could be requested for an LLC, Corporation or Partnership, if the complexity of the situation warrants.</w:t>
            </w:r>
            <w:r w:rsidR="003A3FDF" w:rsidRPr="003A3FDF">
              <w:rPr>
                <w:w w:val="110"/>
                <w:sz w:val="21"/>
                <w:szCs w:val="21"/>
              </w:rPr>
              <w:t xml:space="preserve"> The opinion shall be addressed directly to </w:t>
            </w:r>
            <w:r w:rsidR="002D1DA1">
              <w:rPr>
                <w:w w:val="110"/>
                <w:sz w:val="21"/>
                <w:szCs w:val="21"/>
              </w:rPr>
              <w:t>Axos Bank</w:t>
            </w:r>
            <w:r w:rsidR="003A3FDF" w:rsidRPr="003A3FDF">
              <w:rPr>
                <w:w w:val="110"/>
                <w:sz w:val="21"/>
                <w:szCs w:val="21"/>
              </w:rPr>
              <w:t xml:space="preserve"> and its successors and assigns.  (Sample Available)</w:t>
            </w:r>
          </w:p>
        </w:tc>
      </w:tr>
      <w:tr w:rsidR="00EC0B05" w:rsidRPr="00EC0B05" w14:paraId="2A2E0DAA" w14:textId="77777777" w:rsidTr="0063752F">
        <w:tc>
          <w:tcPr>
            <w:tcW w:w="1336" w:type="pct"/>
          </w:tcPr>
          <w:p w14:paraId="46F46F7C" w14:textId="040023B5" w:rsidR="000016AE" w:rsidRPr="00EC0B05" w:rsidRDefault="000016AE" w:rsidP="00471F7C">
            <w:pPr>
              <w:rPr>
                <w:b/>
                <w:sz w:val="21"/>
                <w:szCs w:val="21"/>
              </w:rPr>
            </w:pPr>
            <w:bookmarkStart w:id="108" w:name="trust_accts"/>
            <w:r w:rsidRPr="00EC0B05">
              <w:rPr>
                <w:b/>
                <w:sz w:val="21"/>
                <w:szCs w:val="21"/>
              </w:rPr>
              <w:lastRenderedPageBreak/>
              <w:t>Trust Accounts</w:t>
            </w:r>
            <w:bookmarkEnd w:id="108"/>
            <w:r w:rsidR="009C5F67" w:rsidRPr="00EC0B05">
              <w:rPr>
                <w:b/>
                <w:sz w:val="21"/>
                <w:szCs w:val="21"/>
              </w:rPr>
              <w:t xml:space="preserve"> Assets</w:t>
            </w:r>
          </w:p>
        </w:tc>
        <w:tc>
          <w:tcPr>
            <w:tcW w:w="3664" w:type="pct"/>
          </w:tcPr>
          <w:p w14:paraId="2A65C808" w14:textId="1D44C142" w:rsidR="000016AE" w:rsidRPr="00EC0B05" w:rsidRDefault="000016AE" w:rsidP="00DF4668">
            <w:pPr>
              <w:pStyle w:val="BodyText"/>
              <w:tabs>
                <w:tab w:val="left" w:pos="3012"/>
              </w:tabs>
              <w:kinsoku w:val="0"/>
              <w:overflowPunct w:val="0"/>
              <w:spacing w:before="1"/>
              <w:rPr>
                <w:rFonts w:asciiTheme="minorHAnsi" w:eastAsiaTheme="minorHAnsi" w:hAnsiTheme="minorHAnsi" w:cstheme="minorBidi"/>
                <w:w w:val="105"/>
              </w:rPr>
            </w:pPr>
            <w:r w:rsidRPr="00EC0B05">
              <w:rPr>
                <w:rFonts w:asciiTheme="minorHAnsi" w:eastAsiaTheme="minorHAnsi" w:hAnsiTheme="minorHAnsi" w:cstheme="minorBidi"/>
                <w:w w:val="105"/>
              </w:rPr>
              <w:t>Funds disbursed from a borrower's trust account are an acceptable source for the down payment, closing costs, and reserves provi</w:t>
            </w:r>
            <w:r w:rsidR="003074B2">
              <w:rPr>
                <w:rFonts w:asciiTheme="minorHAnsi" w:eastAsiaTheme="minorHAnsi" w:hAnsiTheme="minorHAnsi" w:cstheme="minorBidi"/>
                <w:w w:val="105"/>
              </w:rPr>
              <w:t>ded the borrower has immediate</w:t>
            </w:r>
            <w:r w:rsidRPr="00EC0B05">
              <w:rPr>
                <w:rFonts w:asciiTheme="minorHAnsi" w:eastAsiaTheme="minorHAnsi" w:hAnsiTheme="minorHAnsi" w:cstheme="minorBidi"/>
                <w:w w:val="105"/>
              </w:rPr>
              <w:t xml:space="preserve"> access to the funds.  </w:t>
            </w:r>
          </w:p>
          <w:p w14:paraId="1DB7A889" w14:textId="77777777" w:rsidR="000016AE" w:rsidRPr="00EC0B05" w:rsidRDefault="000016AE" w:rsidP="00DF4668">
            <w:pPr>
              <w:pStyle w:val="BodyText"/>
              <w:kinsoku w:val="0"/>
              <w:overflowPunct w:val="0"/>
              <w:spacing w:before="4"/>
              <w:rPr>
                <w:rFonts w:asciiTheme="minorHAnsi" w:eastAsiaTheme="minorHAnsi" w:hAnsiTheme="minorHAnsi" w:cstheme="minorBidi"/>
                <w:w w:val="105"/>
              </w:rPr>
            </w:pPr>
          </w:p>
          <w:p w14:paraId="29C94A24" w14:textId="323D5A07" w:rsidR="000016AE" w:rsidRPr="00EC0B05" w:rsidRDefault="000016AE" w:rsidP="00DF4668">
            <w:pPr>
              <w:widowControl w:val="0"/>
              <w:tabs>
                <w:tab w:val="left" w:pos="3734"/>
              </w:tabs>
              <w:kinsoku w:val="0"/>
              <w:overflowPunct w:val="0"/>
              <w:autoSpaceDE w:val="0"/>
              <w:autoSpaceDN w:val="0"/>
              <w:adjustRightInd w:val="0"/>
              <w:ind w:right="459"/>
              <w:jc w:val="both"/>
              <w:rPr>
                <w:w w:val="110"/>
                <w:sz w:val="21"/>
                <w:szCs w:val="21"/>
              </w:rPr>
            </w:pPr>
            <w:r w:rsidRPr="00EC0B05">
              <w:rPr>
                <w:w w:val="105"/>
                <w:sz w:val="21"/>
                <w:szCs w:val="21"/>
              </w:rPr>
              <w:t>Obtain written documentation of the value of the trust account from either the trust manager or the trustee</w:t>
            </w:r>
            <w:r w:rsidR="002C0C6F">
              <w:rPr>
                <w:w w:val="105"/>
                <w:sz w:val="21"/>
                <w:szCs w:val="21"/>
              </w:rPr>
              <w:t xml:space="preserve"> with bank or investment account statements</w:t>
            </w:r>
            <w:r w:rsidRPr="00EC0B05">
              <w:rPr>
                <w:w w:val="105"/>
                <w:sz w:val="21"/>
                <w:szCs w:val="21"/>
              </w:rPr>
              <w:t>; and document the conditions under which the borrower has access to the funds and the effect, if any, that the withdrawal of funds will have on trust income utilized to qualify the borrower for the mortgage.</w:t>
            </w:r>
            <w:r w:rsidRPr="00EC0B05">
              <w:rPr>
                <w:w w:val="110"/>
                <w:sz w:val="21"/>
                <w:szCs w:val="21"/>
              </w:rPr>
              <w:tab/>
            </w:r>
          </w:p>
        </w:tc>
      </w:tr>
      <w:tr w:rsidR="00EC0B05" w:rsidRPr="00EC0B05" w14:paraId="08DFF415" w14:textId="77777777" w:rsidTr="0063752F">
        <w:tc>
          <w:tcPr>
            <w:tcW w:w="1336" w:type="pct"/>
          </w:tcPr>
          <w:p w14:paraId="43CEEA48" w14:textId="6C52C45B" w:rsidR="000016AE" w:rsidRPr="00EC0B05" w:rsidRDefault="000016AE" w:rsidP="00471F7C">
            <w:pPr>
              <w:rPr>
                <w:b/>
                <w:w w:val="110"/>
                <w:sz w:val="21"/>
                <w:szCs w:val="21"/>
              </w:rPr>
            </w:pPr>
            <w:bookmarkStart w:id="109" w:name="trust_income"/>
            <w:r w:rsidRPr="00EC0B05">
              <w:rPr>
                <w:b/>
                <w:w w:val="110"/>
                <w:sz w:val="21"/>
                <w:szCs w:val="21"/>
              </w:rPr>
              <w:t>Trust Income</w:t>
            </w:r>
            <w:bookmarkEnd w:id="109"/>
          </w:p>
        </w:tc>
        <w:tc>
          <w:tcPr>
            <w:tcW w:w="3664" w:type="pct"/>
          </w:tcPr>
          <w:p w14:paraId="2AD4D666" w14:textId="77777777" w:rsidR="000016AE" w:rsidRDefault="000016AE">
            <w:pPr>
              <w:autoSpaceDE w:val="0"/>
              <w:autoSpaceDN w:val="0"/>
              <w:adjustRightInd w:val="0"/>
              <w:contextualSpacing/>
              <w:rPr>
                <w:w w:val="110"/>
                <w:sz w:val="21"/>
                <w:szCs w:val="21"/>
              </w:rPr>
            </w:pPr>
            <w:r w:rsidRPr="00EC0B05">
              <w:rPr>
                <w:w w:val="110"/>
                <w:sz w:val="21"/>
                <w:szCs w:val="21"/>
              </w:rPr>
              <w:t>Trust income can be verified through a letter from the trustee stating the amount and frequency of the payments.  In addition, the current value of the trust must be reasonably estimated to document the continuance of receipt for at least three years.  The trustee should provide copies of a recent bank statement of the trust to support the current value of the trust.</w:t>
            </w:r>
          </w:p>
          <w:p w14:paraId="4231C971" w14:textId="77777777" w:rsidR="00613D40" w:rsidRDefault="00613D40">
            <w:pPr>
              <w:autoSpaceDE w:val="0"/>
              <w:autoSpaceDN w:val="0"/>
              <w:adjustRightInd w:val="0"/>
              <w:contextualSpacing/>
              <w:rPr>
                <w:w w:val="110"/>
                <w:sz w:val="21"/>
                <w:szCs w:val="21"/>
              </w:rPr>
            </w:pPr>
          </w:p>
          <w:p w14:paraId="73FE967B" w14:textId="424F874B" w:rsidR="00613D40" w:rsidRPr="00EC0B05" w:rsidRDefault="00613D40">
            <w:pPr>
              <w:autoSpaceDE w:val="0"/>
              <w:autoSpaceDN w:val="0"/>
              <w:adjustRightInd w:val="0"/>
              <w:contextualSpacing/>
              <w:rPr>
                <w:w w:val="110"/>
                <w:sz w:val="21"/>
                <w:szCs w:val="21"/>
              </w:rPr>
            </w:pPr>
            <w:r>
              <w:rPr>
                <w:w w:val="110"/>
                <w:sz w:val="21"/>
                <w:szCs w:val="21"/>
              </w:rPr>
              <w:t xml:space="preserve">If the borrower receives the trust income through K1s, then the two most recent years K1s evidencing the income must be provided. </w:t>
            </w:r>
          </w:p>
        </w:tc>
      </w:tr>
      <w:tr w:rsidR="00EC0B05" w:rsidRPr="00EC0B05" w14:paraId="20A469F9" w14:textId="77777777" w:rsidTr="0063752F">
        <w:tc>
          <w:tcPr>
            <w:tcW w:w="1336" w:type="pct"/>
          </w:tcPr>
          <w:p w14:paraId="12A385CD" w14:textId="3C9C58B1" w:rsidR="000016AE" w:rsidRPr="00EC0B05" w:rsidRDefault="000016AE" w:rsidP="00471F7C">
            <w:pPr>
              <w:rPr>
                <w:b/>
                <w:w w:val="110"/>
                <w:sz w:val="21"/>
                <w:szCs w:val="21"/>
              </w:rPr>
            </w:pPr>
            <w:bookmarkStart w:id="110" w:name="auacc_sources_inc"/>
            <w:bookmarkStart w:id="111" w:name="unacc_sources_inc"/>
            <w:r w:rsidRPr="00EC0B05">
              <w:rPr>
                <w:b/>
                <w:w w:val="110"/>
                <w:sz w:val="21"/>
                <w:szCs w:val="21"/>
              </w:rPr>
              <w:t>Unacceptable sources of income</w:t>
            </w:r>
            <w:bookmarkEnd w:id="110"/>
            <w:bookmarkEnd w:id="111"/>
          </w:p>
        </w:tc>
        <w:tc>
          <w:tcPr>
            <w:tcW w:w="3664" w:type="pct"/>
          </w:tcPr>
          <w:p w14:paraId="2650B77B" w14:textId="77777777" w:rsidR="000016AE" w:rsidRPr="00EC0B05" w:rsidRDefault="00946F74" w:rsidP="00A8756A">
            <w:pPr>
              <w:pStyle w:val="ListParagraph"/>
              <w:numPr>
                <w:ilvl w:val="0"/>
                <w:numId w:val="27"/>
              </w:numPr>
              <w:ind w:left="702"/>
              <w:rPr>
                <w:w w:val="110"/>
                <w:sz w:val="21"/>
                <w:szCs w:val="21"/>
              </w:rPr>
            </w:pPr>
            <w:r w:rsidRPr="00EC0B05">
              <w:rPr>
                <w:w w:val="110"/>
                <w:sz w:val="21"/>
                <w:szCs w:val="21"/>
              </w:rPr>
              <w:t>Income not reported to the IRS without reasonable and rationale documentation</w:t>
            </w:r>
            <w:r w:rsidR="000016AE" w:rsidRPr="00EC0B05">
              <w:rPr>
                <w:w w:val="110"/>
                <w:sz w:val="21"/>
                <w:szCs w:val="21"/>
              </w:rPr>
              <w:t xml:space="preserve">; </w:t>
            </w:r>
          </w:p>
          <w:p w14:paraId="019BB165" w14:textId="77777777" w:rsidR="000016AE" w:rsidRPr="00EC0B05" w:rsidRDefault="000016AE" w:rsidP="00A8756A">
            <w:pPr>
              <w:pStyle w:val="ListParagraph"/>
              <w:numPr>
                <w:ilvl w:val="0"/>
                <w:numId w:val="27"/>
              </w:numPr>
              <w:ind w:left="702"/>
              <w:rPr>
                <w:w w:val="110"/>
                <w:sz w:val="21"/>
                <w:szCs w:val="21"/>
              </w:rPr>
            </w:pPr>
            <w:r w:rsidRPr="00EC0B05">
              <w:rPr>
                <w:w w:val="110"/>
                <w:sz w:val="21"/>
                <w:szCs w:val="21"/>
              </w:rPr>
              <w:lastRenderedPageBreak/>
              <w:t>Education benefits;</w:t>
            </w:r>
          </w:p>
          <w:p w14:paraId="4CF11CA6" w14:textId="77777777" w:rsidR="000016AE" w:rsidRPr="00EC0B05" w:rsidRDefault="000016AE" w:rsidP="00A8756A">
            <w:pPr>
              <w:pStyle w:val="ListParagraph"/>
              <w:numPr>
                <w:ilvl w:val="0"/>
                <w:numId w:val="27"/>
              </w:numPr>
              <w:ind w:left="702"/>
              <w:rPr>
                <w:w w:val="110"/>
                <w:sz w:val="21"/>
                <w:szCs w:val="21"/>
              </w:rPr>
            </w:pPr>
            <w:r w:rsidRPr="00EC0B05">
              <w:rPr>
                <w:w w:val="110"/>
                <w:sz w:val="21"/>
                <w:szCs w:val="21"/>
              </w:rPr>
              <w:t>Tax refunds</w:t>
            </w:r>
            <w:r w:rsidR="00946F74" w:rsidRPr="00EC0B05">
              <w:rPr>
                <w:w w:val="110"/>
                <w:sz w:val="21"/>
                <w:szCs w:val="21"/>
              </w:rPr>
              <w:t>;</w:t>
            </w:r>
          </w:p>
          <w:p w14:paraId="58E4E58B" w14:textId="77777777" w:rsidR="000016AE" w:rsidRPr="00EC0B05" w:rsidRDefault="000016AE" w:rsidP="00A8756A">
            <w:pPr>
              <w:pStyle w:val="ListParagraph"/>
              <w:numPr>
                <w:ilvl w:val="0"/>
                <w:numId w:val="27"/>
              </w:numPr>
              <w:ind w:left="702"/>
              <w:rPr>
                <w:w w:val="110"/>
                <w:sz w:val="21"/>
                <w:szCs w:val="21"/>
              </w:rPr>
            </w:pPr>
            <w:r w:rsidRPr="00EC0B05">
              <w:rPr>
                <w:w w:val="110"/>
                <w:sz w:val="21"/>
                <w:szCs w:val="21"/>
              </w:rPr>
              <w:t>Gambling winnings</w:t>
            </w:r>
            <w:r w:rsidR="00946F74" w:rsidRPr="00EC0B05">
              <w:rPr>
                <w:w w:val="110"/>
                <w:sz w:val="21"/>
                <w:szCs w:val="21"/>
              </w:rPr>
              <w:t>;</w:t>
            </w:r>
          </w:p>
          <w:p w14:paraId="6046F79C" w14:textId="77777777" w:rsidR="000016AE" w:rsidRPr="00EC0B05" w:rsidRDefault="000016AE" w:rsidP="00A8756A">
            <w:pPr>
              <w:pStyle w:val="ListParagraph"/>
              <w:numPr>
                <w:ilvl w:val="0"/>
                <w:numId w:val="27"/>
              </w:numPr>
              <w:ind w:left="702"/>
              <w:rPr>
                <w:w w:val="110"/>
                <w:sz w:val="21"/>
                <w:szCs w:val="21"/>
              </w:rPr>
            </w:pPr>
            <w:r w:rsidRPr="00EC0B05">
              <w:rPr>
                <w:w w:val="110"/>
                <w:sz w:val="21"/>
                <w:szCs w:val="21"/>
              </w:rPr>
              <w:t>Forgiveness of debt</w:t>
            </w:r>
            <w:r w:rsidR="00946F74" w:rsidRPr="00EC0B05">
              <w:rPr>
                <w:w w:val="110"/>
                <w:sz w:val="21"/>
                <w:szCs w:val="21"/>
              </w:rPr>
              <w:t>;</w:t>
            </w:r>
          </w:p>
          <w:p w14:paraId="1D960E04" w14:textId="77777777" w:rsidR="000016AE" w:rsidRPr="00EC0B05" w:rsidRDefault="000016AE" w:rsidP="00A8756A">
            <w:pPr>
              <w:pStyle w:val="ListParagraph"/>
              <w:numPr>
                <w:ilvl w:val="0"/>
                <w:numId w:val="27"/>
              </w:numPr>
              <w:ind w:left="702"/>
              <w:rPr>
                <w:w w:val="110"/>
                <w:sz w:val="21"/>
                <w:szCs w:val="21"/>
              </w:rPr>
            </w:pPr>
            <w:r w:rsidRPr="00EC0B05">
              <w:rPr>
                <w:w w:val="110"/>
                <w:sz w:val="21"/>
                <w:szCs w:val="21"/>
              </w:rPr>
              <w:t>Income derived from illegal activities</w:t>
            </w:r>
          </w:p>
        </w:tc>
      </w:tr>
      <w:tr w:rsidR="00EC0B05" w:rsidRPr="00EC0B05" w14:paraId="4EDC8D4F" w14:textId="77777777" w:rsidTr="0063752F">
        <w:tc>
          <w:tcPr>
            <w:tcW w:w="1336" w:type="pct"/>
          </w:tcPr>
          <w:p w14:paraId="5E8249F9" w14:textId="0CBED285" w:rsidR="000016AE" w:rsidRPr="00EC0B05" w:rsidRDefault="000016AE" w:rsidP="00471F7C">
            <w:pPr>
              <w:rPr>
                <w:b/>
                <w:w w:val="110"/>
                <w:sz w:val="21"/>
                <w:szCs w:val="21"/>
              </w:rPr>
            </w:pPr>
            <w:bookmarkStart w:id="112" w:name="verif_docs"/>
            <w:r w:rsidRPr="00EC0B05">
              <w:rPr>
                <w:b/>
                <w:w w:val="110"/>
                <w:sz w:val="21"/>
                <w:szCs w:val="21"/>
              </w:rPr>
              <w:lastRenderedPageBreak/>
              <w:t>Verification Documents</w:t>
            </w:r>
            <w:bookmarkEnd w:id="112"/>
          </w:p>
        </w:tc>
        <w:tc>
          <w:tcPr>
            <w:tcW w:w="3664" w:type="pct"/>
          </w:tcPr>
          <w:p w14:paraId="475CD177" w14:textId="77777777" w:rsidR="000016AE" w:rsidRPr="00EC0B05" w:rsidRDefault="000016AE">
            <w:pPr>
              <w:rPr>
                <w:w w:val="110"/>
                <w:sz w:val="21"/>
                <w:szCs w:val="21"/>
              </w:rPr>
            </w:pPr>
            <w:r w:rsidRPr="00EC0B05">
              <w:rPr>
                <w:sz w:val="21"/>
                <w:szCs w:val="21"/>
              </w:rPr>
              <w:t>Verification documents must be no more than 90 days old based on the date of the note and closing documents.</w:t>
            </w:r>
          </w:p>
        </w:tc>
      </w:tr>
      <w:tr w:rsidR="00EC0B05" w:rsidRPr="00EC0B05" w14:paraId="6506F069" w14:textId="77777777" w:rsidTr="0063752F">
        <w:tc>
          <w:tcPr>
            <w:tcW w:w="1336" w:type="pct"/>
          </w:tcPr>
          <w:p w14:paraId="7E25E9AF" w14:textId="715E5306" w:rsidR="000016AE" w:rsidRPr="00EC0B05" w:rsidRDefault="000016AE" w:rsidP="00471F7C">
            <w:pPr>
              <w:rPr>
                <w:b/>
                <w:sz w:val="21"/>
                <w:szCs w:val="21"/>
              </w:rPr>
            </w:pPr>
            <w:bookmarkStart w:id="113" w:name="wage_earners"/>
            <w:r w:rsidRPr="00EC0B05">
              <w:rPr>
                <w:b/>
                <w:sz w:val="21"/>
                <w:szCs w:val="21"/>
              </w:rPr>
              <w:t>Wage Earners</w:t>
            </w:r>
            <w:bookmarkEnd w:id="113"/>
          </w:p>
        </w:tc>
        <w:tc>
          <w:tcPr>
            <w:tcW w:w="3664" w:type="pct"/>
          </w:tcPr>
          <w:p w14:paraId="0F82E48D" w14:textId="69D4D6D1" w:rsidR="000016AE" w:rsidRPr="00EC0B05" w:rsidRDefault="000016AE">
            <w:pPr>
              <w:rPr>
                <w:w w:val="110"/>
                <w:sz w:val="21"/>
                <w:szCs w:val="21"/>
              </w:rPr>
            </w:pPr>
            <w:r w:rsidRPr="00EC0B05">
              <w:rPr>
                <w:w w:val="110"/>
                <w:sz w:val="21"/>
                <w:szCs w:val="21"/>
              </w:rPr>
              <w:t xml:space="preserve">Current paystubs/payroll earnings statements that cover the borrower's earnings for the most recent 30 -day period </w:t>
            </w:r>
            <w:r w:rsidR="00377327">
              <w:rPr>
                <w:w w:val="110"/>
                <w:sz w:val="21"/>
                <w:szCs w:val="21"/>
              </w:rPr>
              <w:t>in addition to the two most recent years’ individual tax returns</w:t>
            </w:r>
            <w:r w:rsidRPr="00EC0B05">
              <w:rPr>
                <w:w w:val="110"/>
                <w:sz w:val="21"/>
                <w:szCs w:val="21"/>
              </w:rPr>
              <w:t xml:space="preserve"> should be requested.</w:t>
            </w:r>
          </w:p>
          <w:p w14:paraId="2B86A002" w14:textId="77777777" w:rsidR="000016AE" w:rsidRPr="00EC0B05" w:rsidRDefault="000016AE" w:rsidP="00DF4668">
            <w:pPr>
              <w:pStyle w:val="BodyText"/>
              <w:ind w:right="222"/>
              <w:contextualSpacing/>
              <w:rPr>
                <w:rFonts w:asciiTheme="minorHAnsi" w:eastAsiaTheme="minorHAnsi" w:hAnsiTheme="minorHAnsi" w:cstheme="minorBidi"/>
                <w:w w:val="110"/>
              </w:rPr>
            </w:pPr>
          </w:p>
          <w:p w14:paraId="66B53BB3" w14:textId="77777777" w:rsidR="000016AE" w:rsidRPr="00EC0B05" w:rsidRDefault="000016AE" w:rsidP="00DF4668">
            <w:pPr>
              <w:pStyle w:val="BodyText"/>
              <w:ind w:right="222"/>
              <w:contextualSpacing/>
              <w:rPr>
                <w:rFonts w:asciiTheme="minorHAnsi" w:eastAsiaTheme="minorHAnsi" w:hAnsiTheme="minorHAnsi" w:cstheme="minorBidi"/>
                <w:b/>
                <w:w w:val="110"/>
              </w:rPr>
            </w:pPr>
            <w:r w:rsidRPr="00EC0B05">
              <w:rPr>
                <w:rFonts w:asciiTheme="minorHAnsi" w:eastAsiaTheme="minorHAnsi" w:hAnsiTheme="minorHAnsi" w:cstheme="minorBidi"/>
                <w:b/>
                <w:w w:val="110"/>
              </w:rPr>
              <w:t>Overtime</w:t>
            </w:r>
            <w:r w:rsidR="0092454B" w:rsidRPr="00EC0B05">
              <w:rPr>
                <w:rFonts w:asciiTheme="minorHAnsi" w:eastAsiaTheme="minorHAnsi" w:hAnsiTheme="minorHAnsi" w:cstheme="minorBidi"/>
                <w:b/>
                <w:w w:val="110"/>
              </w:rPr>
              <w:t xml:space="preserve"> – See Overtime and Bonus Section</w:t>
            </w:r>
          </w:p>
          <w:p w14:paraId="51C02D19" w14:textId="77777777" w:rsidR="0092454B" w:rsidRPr="00EC0B05" w:rsidRDefault="0092454B" w:rsidP="00DF4668">
            <w:pPr>
              <w:pStyle w:val="BodyText"/>
              <w:ind w:right="310"/>
              <w:contextualSpacing/>
              <w:rPr>
                <w:rFonts w:asciiTheme="minorHAnsi" w:eastAsiaTheme="minorHAnsi" w:hAnsiTheme="minorHAnsi" w:cstheme="minorBidi"/>
                <w:w w:val="110"/>
              </w:rPr>
            </w:pPr>
          </w:p>
          <w:p w14:paraId="548F0793" w14:textId="77777777" w:rsidR="000016AE" w:rsidRPr="00EC0B05" w:rsidRDefault="0092454B" w:rsidP="00DF4668">
            <w:pPr>
              <w:pStyle w:val="BodyText"/>
              <w:ind w:right="222"/>
              <w:contextualSpacing/>
              <w:rPr>
                <w:rFonts w:asciiTheme="minorHAnsi" w:eastAsiaTheme="minorHAnsi" w:hAnsiTheme="minorHAnsi" w:cstheme="minorBidi"/>
                <w:b/>
                <w:w w:val="110"/>
              </w:rPr>
            </w:pPr>
            <w:r w:rsidRPr="00EC0B05">
              <w:rPr>
                <w:rFonts w:asciiTheme="minorHAnsi" w:eastAsiaTheme="minorHAnsi" w:hAnsiTheme="minorHAnsi" w:cstheme="minorBidi"/>
                <w:b/>
                <w:w w:val="110"/>
              </w:rPr>
              <w:t>Bonus – See Overtime and Bonus Section</w:t>
            </w:r>
          </w:p>
          <w:p w14:paraId="0E227709" w14:textId="77777777" w:rsidR="0092454B" w:rsidRPr="00EC0B05" w:rsidRDefault="0092454B" w:rsidP="00DF4668">
            <w:pPr>
              <w:pStyle w:val="BodyText"/>
              <w:ind w:right="222"/>
              <w:contextualSpacing/>
              <w:rPr>
                <w:rFonts w:asciiTheme="minorHAnsi" w:eastAsiaTheme="minorHAnsi" w:hAnsiTheme="minorHAnsi" w:cstheme="minorBidi"/>
                <w:w w:val="110"/>
              </w:rPr>
            </w:pPr>
          </w:p>
          <w:p w14:paraId="5B3D4592" w14:textId="77777777" w:rsidR="000016AE" w:rsidRPr="00EC0B05" w:rsidRDefault="000016AE" w:rsidP="00DF4668">
            <w:pPr>
              <w:pStyle w:val="BodyText"/>
              <w:ind w:right="222"/>
              <w:contextualSpacing/>
              <w:rPr>
                <w:rFonts w:asciiTheme="minorHAnsi" w:eastAsiaTheme="minorHAnsi" w:hAnsiTheme="minorHAnsi" w:cstheme="minorBidi"/>
                <w:b/>
                <w:w w:val="110"/>
              </w:rPr>
            </w:pPr>
            <w:r w:rsidRPr="00EC0B05">
              <w:rPr>
                <w:rFonts w:asciiTheme="minorHAnsi" w:eastAsiaTheme="minorHAnsi" w:hAnsiTheme="minorHAnsi" w:cstheme="minorBidi"/>
                <w:b/>
                <w:w w:val="110"/>
              </w:rPr>
              <w:t>Restricted Stock</w:t>
            </w:r>
          </w:p>
          <w:p w14:paraId="58A2DFCF" w14:textId="494721C0" w:rsidR="000016AE" w:rsidRPr="00EC0B05" w:rsidRDefault="000016AE" w:rsidP="00DF4668">
            <w:pPr>
              <w:pStyle w:val="BodyText"/>
              <w:ind w:right="310"/>
              <w:contextualSpacing/>
              <w:rPr>
                <w:rFonts w:asciiTheme="minorHAnsi" w:eastAsiaTheme="minorHAnsi" w:hAnsiTheme="minorHAnsi" w:cstheme="minorBidi"/>
                <w:w w:val="110"/>
              </w:rPr>
            </w:pPr>
            <w:r w:rsidRPr="00EC0B05">
              <w:rPr>
                <w:rFonts w:asciiTheme="minorHAnsi" w:eastAsiaTheme="minorHAnsi" w:hAnsiTheme="minorHAnsi" w:cstheme="minorBidi"/>
                <w:w w:val="110"/>
              </w:rPr>
              <w:t>When using restricted stock units</w:t>
            </w:r>
            <w:r w:rsidR="00E5611A" w:rsidRPr="00E5611A">
              <w:rPr>
                <w:rFonts w:asciiTheme="minorHAnsi" w:hAnsiTheme="minorHAnsi"/>
                <w:color w:val="1F161F"/>
                <w:w w:val="110"/>
              </w:rPr>
              <w:t>, the following documents should be obtained, if applicable: vesting schedule (must include future vestings; st</w:t>
            </w:r>
            <w:r w:rsidR="00377327">
              <w:rPr>
                <w:rFonts w:asciiTheme="minorHAnsi" w:hAnsiTheme="minorHAnsi"/>
                <w:color w:val="1F161F"/>
                <w:w w:val="110"/>
              </w:rPr>
              <w:t>o</w:t>
            </w:r>
            <w:r w:rsidR="00E5611A" w:rsidRPr="00E5611A">
              <w:rPr>
                <w:rFonts w:asciiTheme="minorHAnsi" w:hAnsiTheme="minorHAnsi"/>
                <w:color w:val="1F161F"/>
                <w:w w:val="110"/>
              </w:rPr>
              <w:t xml:space="preserve">ck must be publically traded), </w:t>
            </w:r>
            <w:r w:rsidR="00377327">
              <w:rPr>
                <w:rFonts w:asciiTheme="minorHAnsi" w:hAnsiTheme="minorHAnsi"/>
                <w:color w:val="1F161F"/>
                <w:w w:val="110"/>
              </w:rPr>
              <w:t>or</w:t>
            </w:r>
            <w:r w:rsidR="00E5611A" w:rsidRPr="00E5611A">
              <w:rPr>
                <w:rFonts w:asciiTheme="minorHAnsi" w:hAnsiTheme="minorHAnsi"/>
                <w:color w:val="1F161F"/>
                <w:w w:val="110"/>
              </w:rPr>
              <w:t xml:space="preserve"> any applicable RSU Agreement to confirm the terms and conditions of the awards</w:t>
            </w:r>
            <w:r w:rsidRPr="00EC0B05">
              <w:rPr>
                <w:rFonts w:asciiTheme="minorHAnsi" w:eastAsiaTheme="minorHAnsi" w:hAnsiTheme="minorHAnsi" w:cstheme="minorBidi"/>
                <w:w w:val="110"/>
              </w:rPr>
              <w:t xml:space="preserve"> </w:t>
            </w:r>
          </w:p>
          <w:p w14:paraId="7B70E602" w14:textId="77777777" w:rsidR="000016AE" w:rsidRPr="00EC0B05" w:rsidRDefault="000016AE" w:rsidP="00DF4668">
            <w:pPr>
              <w:pStyle w:val="BodyText"/>
              <w:ind w:right="222"/>
              <w:contextualSpacing/>
              <w:rPr>
                <w:rFonts w:asciiTheme="minorHAnsi" w:eastAsiaTheme="minorHAnsi" w:hAnsiTheme="minorHAnsi" w:cstheme="minorBidi"/>
                <w:w w:val="110"/>
              </w:rPr>
            </w:pPr>
          </w:p>
          <w:p w14:paraId="3534C474" w14:textId="77777777" w:rsidR="000016AE" w:rsidRPr="00EC0B05" w:rsidRDefault="000016AE" w:rsidP="00471F7C">
            <w:pPr>
              <w:rPr>
                <w:b/>
                <w:w w:val="110"/>
                <w:sz w:val="21"/>
                <w:szCs w:val="21"/>
              </w:rPr>
            </w:pPr>
            <w:r w:rsidRPr="00EC0B05">
              <w:rPr>
                <w:b/>
                <w:w w:val="110"/>
                <w:sz w:val="21"/>
                <w:szCs w:val="21"/>
              </w:rPr>
              <w:t xml:space="preserve">New Employment: </w:t>
            </w:r>
          </w:p>
          <w:p w14:paraId="44615501" w14:textId="77777777" w:rsidR="000016AE" w:rsidRPr="00EC0B05" w:rsidRDefault="000016AE">
            <w:pPr>
              <w:pStyle w:val="ListParagraph"/>
              <w:numPr>
                <w:ilvl w:val="0"/>
                <w:numId w:val="3"/>
              </w:numPr>
              <w:rPr>
                <w:w w:val="110"/>
                <w:sz w:val="21"/>
                <w:szCs w:val="21"/>
              </w:rPr>
            </w:pPr>
            <w:r w:rsidRPr="00EC0B05">
              <w:rPr>
                <w:w w:val="110"/>
                <w:sz w:val="21"/>
                <w:szCs w:val="21"/>
              </w:rPr>
              <w:t>If a borrower recently relocated to the United States from another Country - two years income verification may be waived with the receipt of current paystubs, a signed offer letter, contract or a full written VOE.</w:t>
            </w:r>
          </w:p>
        </w:tc>
      </w:tr>
      <w:tr w:rsidR="00EC0B05" w:rsidRPr="00EC0B05" w14:paraId="5A9FDAC7" w14:textId="77777777" w:rsidTr="0063752F">
        <w:tc>
          <w:tcPr>
            <w:tcW w:w="1336" w:type="pct"/>
          </w:tcPr>
          <w:p w14:paraId="5641DF4F" w14:textId="76DC7041" w:rsidR="000016AE" w:rsidRPr="00EC0B05" w:rsidRDefault="000016AE" w:rsidP="00471F7C">
            <w:pPr>
              <w:tabs>
                <w:tab w:val="left" w:pos="1380"/>
              </w:tabs>
              <w:rPr>
                <w:b/>
                <w:sz w:val="21"/>
                <w:szCs w:val="21"/>
              </w:rPr>
            </w:pPr>
            <w:bookmarkStart w:id="114" w:name="well_cert"/>
            <w:r w:rsidRPr="00EC0B05">
              <w:rPr>
                <w:b/>
                <w:sz w:val="21"/>
                <w:szCs w:val="21"/>
              </w:rPr>
              <w:t>Well Certification</w:t>
            </w:r>
            <w:bookmarkEnd w:id="114"/>
          </w:p>
        </w:tc>
        <w:tc>
          <w:tcPr>
            <w:tcW w:w="3664" w:type="pct"/>
          </w:tcPr>
          <w:p w14:paraId="3820BA82" w14:textId="48E6B0AB" w:rsidR="000016AE" w:rsidRPr="00EC0B05" w:rsidRDefault="000016AE" w:rsidP="00DF4668">
            <w:pPr>
              <w:pStyle w:val="BodyText"/>
              <w:kinsoku w:val="0"/>
              <w:overflowPunct w:val="0"/>
              <w:spacing w:before="94"/>
              <w:ind w:left="134" w:right="196" w:firstLine="7"/>
              <w:rPr>
                <w:rFonts w:asciiTheme="minorHAnsi" w:hAnsiTheme="minorHAnsi"/>
                <w:b/>
              </w:rPr>
            </w:pPr>
            <w:r w:rsidRPr="00EC0B05">
              <w:rPr>
                <w:rFonts w:asciiTheme="minorHAnsi" w:eastAsiaTheme="minorHAnsi" w:hAnsiTheme="minorHAnsi" w:cstheme="minorBidi"/>
                <w:w w:val="110"/>
              </w:rPr>
              <w:t xml:space="preserve">A water purity test will be required on all purchase transactions, if the subject property utilizes a private well without a Community Maintenance Agreement.  A potable le/ health authority certification will be required on all private water systems. </w:t>
            </w:r>
          </w:p>
        </w:tc>
      </w:tr>
    </w:tbl>
    <w:p w14:paraId="4198DE0F" w14:textId="77777777" w:rsidR="000016AE" w:rsidRDefault="00353CE2" w:rsidP="00471F7C">
      <w:pPr>
        <w:rPr>
          <w:color w:val="1F161F"/>
          <w:w w:val="110"/>
          <w:sz w:val="21"/>
          <w:szCs w:val="21"/>
        </w:rPr>
      </w:pPr>
      <w:r>
        <w:rPr>
          <w:rStyle w:val="FootnoteReference"/>
          <w:color w:val="1F161F"/>
          <w:w w:val="110"/>
          <w:sz w:val="21"/>
          <w:szCs w:val="21"/>
        </w:rPr>
        <w:footnoteReference w:id="1"/>
      </w:r>
    </w:p>
    <w:p w14:paraId="208BB028" w14:textId="02822627" w:rsidR="00C12A5C" w:rsidRDefault="00C12A5C">
      <w:pPr>
        <w:rPr>
          <w:color w:val="1F161F"/>
          <w:w w:val="110"/>
          <w:sz w:val="21"/>
          <w:szCs w:val="21"/>
        </w:rPr>
      </w:pPr>
    </w:p>
    <w:p w14:paraId="55FE6854" w14:textId="2991CF66" w:rsidR="00034B2B" w:rsidRDefault="00034B2B">
      <w:pPr>
        <w:rPr>
          <w:color w:val="1F161F"/>
          <w:w w:val="110"/>
          <w:sz w:val="21"/>
          <w:szCs w:val="21"/>
        </w:rPr>
      </w:pPr>
    </w:p>
    <w:p w14:paraId="59CE3A05" w14:textId="6B3A464D" w:rsidR="00034B2B" w:rsidRDefault="00034B2B">
      <w:pPr>
        <w:rPr>
          <w:color w:val="1F161F"/>
          <w:w w:val="110"/>
          <w:sz w:val="21"/>
          <w:szCs w:val="21"/>
        </w:rPr>
      </w:pPr>
    </w:p>
    <w:p w14:paraId="35A7D6C2" w14:textId="11D7E999" w:rsidR="00034B2B" w:rsidRDefault="00034B2B">
      <w:pPr>
        <w:rPr>
          <w:color w:val="1F161F"/>
          <w:w w:val="110"/>
          <w:sz w:val="21"/>
          <w:szCs w:val="21"/>
        </w:rPr>
      </w:pPr>
    </w:p>
    <w:p w14:paraId="23295AE4" w14:textId="7281DCB5" w:rsidR="00034B2B" w:rsidRDefault="00034B2B">
      <w:pPr>
        <w:rPr>
          <w:color w:val="1F161F"/>
          <w:w w:val="110"/>
          <w:sz w:val="21"/>
          <w:szCs w:val="21"/>
        </w:rPr>
      </w:pPr>
    </w:p>
    <w:p w14:paraId="7AFD080F" w14:textId="696E1FF0" w:rsidR="00034B2B" w:rsidRDefault="00034B2B">
      <w:pPr>
        <w:rPr>
          <w:color w:val="1F161F"/>
          <w:w w:val="110"/>
          <w:sz w:val="21"/>
          <w:szCs w:val="21"/>
        </w:rPr>
      </w:pPr>
    </w:p>
    <w:p w14:paraId="40CC1A8C" w14:textId="3228A1AD" w:rsidR="00034B2B" w:rsidRDefault="00034B2B">
      <w:pPr>
        <w:rPr>
          <w:color w:val="1F161F"/>
          <w:w w:val="110"/>
          <w:sz w:val="21"/>
          <w:szCs w:val="21"/>
        </w:rPr>
      </w:pPr>
    </w:p>
    <w:p w14:paraId="5BCF256A" w14:textId="064EE722" w:rsidR="00034B2B" w:rsidRDefault="00034B2B">
      <w:pPr>
        <w:rPr>
          <w:color w:val="1F161F"/>
          <w:w w:val="110"/>
          <w:sz w:val="21"/>
          <w:szCs w:val="21"/>
        </w:rPr>
      </w:pPr>
    </w:p>
    <w:p w14:paraId="1C05C238" w14:textId="1BDEF96C" w:rsidR="00034B2B" w:rsidRDefault="00034B2B">
      <w:pPr>
        <w:rPr>
          <w:color w:val="1F161F"/>
          <w:w w:val="110"/>
          <w:sz w:val="21"/>
          <w:szCs w:val="21"/>
        </w:rPr>
      </w:pPr>
    </w:p>
    <w:p w14:paraId="54136B31" w14:textId="4154F7F9" w:rsidR="00034B2B" w:rsidRDefault="00034B2B">
      <w:pPr>
        <w:rPr>
          <w:color w:val="1F161F"/>
          <w:w w:val="110"/>
          <w:sz w:val="21"/>
          <w:szCs w:val="21"/>
        </w:rPr>
      </w:pPr>
    </w:p>
    <w:p w14:paraId="73B9F21B" w14:textId="7BAEC539" w:rsidR="00034B2B" w:rsidRDefault="00034B2B">
      <w:pPr>
        <w:rPr>
          <w:color w:val="1F161F"/>
          <w:w w:val="110"/>
          <w:sz w:val="21"/>
          <w:szCs w:val="21"/>
        </w:rPr>
      </w:pPr>
    </w:p>
    <w:p w14:paraId="7AD105BA" w14:textId="2E378D47" w:rsidR="00034B2B" w:rsidRDefault="00034B2B">
      <w:pPr>
        <w:rPr>
          <w:color w:val="1F161F"/>
          <w:w w:val="110"/>
          <w:sz w:val="21"/>
          <w:szCs w:val="21"/>
        </w:rPr>
      </w:pPr>
    </w:p>
    <w:p w14:paraId="243399DD" w14:textId="7B75A73F" w:rsidR="00034B2B" w:rsidRDefault="00034B2B">
      <w:pPr>
        <w:rPr>
          <w:color w:val="1F161F"/>
          <w:w w:val="110"/>
          <w:sz w:val="21"/>
          <w:szCs w:val="21"/>
        </w:rPr>
      </w:pPr>
    </w:p>
    <w:p w14:paraId="6B9E0768" w14:textId="77F407FC" w:rsidR="00034B2B" w:rsidRDefault="00034B2B">
      <w:pPr>
        <w:rPr>
          <w:color w:val="1F161F"/>
          <w:w w:val="110"/>
          <w:sz w:val="21"/>
          <w:szCs w:val="21"/>
        </w:rPr>
      </w:pPr>
    </w:p>
    <w:p w14:paraId="67E33738" w14:textId="554399BB" w:rsidR="00034B2B" w:rsidRDefault="00034B2B">
      <w:pPr>
        <w:rPr>
          <w:color w:val="1F161F"/>
          <w:w w:val="110"/>
          <w:sz w:val="21"/>
          <w:szCs w:val="21"/>
        </w:rPr>
      </w:pPr>
    </w:p>
    <w:p w14:paraId="1D6D80B0" w14:textId="18F072A5" w:rsidR="00034B2B" w:rsidRDefault="00034B2B">
      <w:pPr>
        <w:rPr>
          <w:color w:val="1F161F"/>
          <w:w w:val="110"/>
          <w:sz w:val="21"/>
          <w:szCs w:val="21"/>
        </w:rPr>
      </w:pPr>
    </w:p>
    <w:p w14:paraId="5B6ADAB6" w14:textId="506FCC1A" w:rsidR="00034B2B" w:rsidRDefault="00034B2B">
      <w:pPr>
        <w:rPr>
          <w:color w:val="1F161F"/>
          <w:w w:val="110"/>
          <w:sz w:val="21"/>
          <w:szCs w:val="21"/>
        </w:rPr>
      </w:pPr>
    </w:p>
    <w:p w14:paraId="6BF5D7C3" w14:textId="3F8AAE75" w:rsidR="00034B2B" w:rsidRDefault="00034B2B">
      <w:pPr>
        <w:rPr>
          <w:color w:val="1F161F"/>
          <w:w w:val="110"/>
          <w:sz w:val="21"/>
          <w:szCs w:val="21"/>
        </w:rPr>
      </w:pPr>
    </w:p>
    <w:p w14:paraId="4653A18F" w14:textId="392C90ED" w:rsidR="00034B2B" w:rsidRDefault="00034B2B">
      <w:pPr>
        <w:rPr>
          <w:color w:val="1F161F"/>
          <w:w w:val="110"/>
          <w:sz w:val="21"/>
          <w:szCs w:val="21"/>
        </w:rPr>
      </w:pPr>
    </w:p>
    <w:p w14:paraId="7DC096A2" w14:textId="7ECA1402" w:rsidR="00034B2B" w:rsidRDefault="00034B2B">
      <w:pPr>
        <w:rPr>
          <w:color w:val="1F161F"/>
          <w:w w:val="110"/>
          <w:sz w:val="21"/>
          <w:szCs w:val="21"/>
        </w:rPr>
      </w:pPr>
    </w:p>
    <w:p w14:paraId="296E8F0F" w14:textId="40E47F26" w:rsidR="00034B2B" w:rsidRDefault="00034B2B">
      <w:pPr>
        <w:rPr>
          <w:color w:val="1F161F"/>
          <w:w w:val="110"/>
          <w:sz w:val="21"/>
          <w:szCs w:val="21"/>
        </w:rPr>
      </w:pPr>
    </w:p>
    <w:p w14:paraId="18EE9F49" w14:textId="1B38AE9A" w:rsidR="00034B2B" w:rsidRDefault="00034B2B">
      <w:pPr>
        <w:rPr>
          <w:color w:val="1F161F"/>
          <w:w w:val="110"/>
          <w:sz w:val="21"/>
          <w:szCs w:val="21"/>
        </w:rPr>
      </w:pPr>
    </w:p>
    <w:p w14:paraId="688F0D61" w14:textId="06EB87F7" w:rsidR="00034B2B" w:rsidRDefault="00034B2B">
      <w:pPr>
        <w:rPr>
          <w:color w:val="1F161F"/>
          <w:w w:val="110"/>
          <w:sz w:val="21"/>
          <w:szCs w:val="21"/>
        </w:rPr>
      </w:pPr>
    </w:p>
    <w:p w14:paraId="14CBB386" w14:textId="58763AD8" w:rsidR="00034B2B" w:rsidRDefault="00034B2B">
      <w:pPr>
        <w:rPr>
          <w:color w:val="1F161F"/>
          <w:w w:val="110"/>
          <w:sz w:val="21"/>
          <w:szCs w:val="21"/>
        </w:rPr>
      </w:pPr>
    </w:p>
    <w:p w14:paraId="4ABC6163" w14:textId="0D3385A2" w:rsidR="00034B2B" w:rsidRDefault="00034B2B">
      <w:pPr>
        <w:rPr>
          <w:color w:val="1F161F"/>
          <w:w w:val="110"/>
          <w:sz w:val="21"/>
          <w:szCs w:val="21"/>
        </w:rPr>
      </w:pPr>
    </w:p>
    <w:p w14:paraId="0C9A560C" w14:textId="1C36EBA1" w:rsidR="00034B2B" w:rsidRDefault="00034B2B">
      <w:pPr>
        <w:rPr>
          <w:color w:val="1F161F"/>
          <w:w w:val="110"/>
          <w:sz w:val="21"/>
          <w:szCs w:val="21"/>
        </w:rPr>
      </w:pPr>
    </w:p>
    <w:p w14:paraId="01FA4C85" w14:textId="49DBE475" w:rsidR="00034B2B" w:rsidRDefault="00034B2B">
      <w:pPr>
        <w:rPr>
          <w:color w:val="1F161F"/>
          <w:w w:val="110"/>
          <w:sz w:val="21"/>
          <w:szCs w:val="21"/>
        </w:rPr>
      </w:pPr>
    </w:p>
    <w:p w14:paraId="13D8434F" w14:textId="5177A05E" w:rsidR="00034B2B" w:rsidRDefault="00034B2B">
      <w:pPr>
        <w:rPr>
          <w:color w:val="1F161F"/>
          <w:w w:val="110"/>
          <w:sz w:val="21"/>
          <w:szCs w:val="21"/>
        </w:rPr>
      </w:pPr>
    </w:p>
    <w:p w14:paraId="75501BD3" w14:textId="0C35EA6B" w:rsidR="00034B2B" w:rsidRDefault="00034B2B">
      <w:pPr>
        <w:rPr>
          <w:color w:val="1F161F"/>
          <w:w w:val="110"/>
          <w:sz w:val="21"/>
          <w:szCs w:val="21"/>
        </w:rPr>
      </w:pPr>
    </w:p>
    <w:p w14:paraId="0B6ECD56" w14:textId="705682DB" w:rsidR="00034B2B" w:rsidRDefault="00034B2B">
      <w:pPr>
        <w:rPr>
          <w:color w:val="1F161F"/>
          <w:w w:val="110"/>
          <w:sz w:val="21"/>
          <w:szCs w:val="21"/>
        </w:rPr>
      </w:pPr>
    </w:p>
    <w:p w14:paraId="41E6F31C" w14:textId="18CB067E" w:rsidR="00034B2B" w:rsidRDefault="00034B2B">
      <w:pPr>
        <w:rPr>
          <w:color w:val="1F161F"/>
          <w:w w:val="110"/>
          <w:sz w:val="21"/>
          <w:szCs w:val="21"/>
        </w:rPr>
      </w:pPr>
    </w:p>
    <w:p w14:paraId="3FC4D070" w14:textId="4EBF8B5C" w:rsidR="00034B2B" w:rsidRDefault="00034B2B">
      <w:pPr>
        <w:rPr>
          <w:color w:val="1F161F"/>
          <w:w w:val="110"/>
          <w:sz w:val="21"/>
          <w:szCs w:val="21"/>
        </w:rPr>
      </w:pPr>
    </w:p>
    <w:p w14:paraId="255238E4" w14:textId="6E9CD124" w:rsidR="00034B2B" w:rsidRDefault="00034B2B">
      <w:pPr>
        <w:rPr>
          <w:color w:val="1F161F"/>
          <w:w w:val="110"/>
          <w:sz w:val="21"/>
          <w:szCs w:val="21"/>
        </w:rPr>
      </w:pPr>
    </w:p>
    <w:p w14:paraId="3D570070" w14:textId="757F8F4C" w:rsidR="00034B2B" w:rsidRDefault="00034B2B">
      <w:pPr>
        <w:rPr>
          <w:color w:val="1F161F"/>
          <w:w w:val="110"/>
          <w:sz w:val="21"/>
          <w:szCs w:val="21"/>
        </w:rPr>
      </w:pPr>
    </w:p>
    <w:p w14:paraId="5704BCB2" w14:textId="77777777" w:rsidR="00027213" w:rsidRDefault="00027213" w:rsidP="007B155D">
      <w:pPr>
        <w:rPr>
          <w:rFonts w:ascii="Verdana" w:hAnsi="Verdana"/>
          <w:b/>
          <w:color w:val="666666"/>
          <w:sz w:val="26"/>
          <w:szCs w:val="26"/>
        </w:rPr>
      </w:pPr>
      <w:bookmarkStart w:id="115" w:name="rate_lock_procedure"/>
    </w:p>
    <w:p w14:paraId="7A3B6A16" w14:textId="77777777" w:rsidR="00027213" w:rsidRDefault="00027213" w:rsidP="007B155D">
      <w:pPr>
        <w:rPr>
          <w:rFonts w:ascii="Verdana" w:hAnsi="Verdana"/>
          <w:b/>
          <w:color w:val="666666"/>
          <w:sz w:val="26"/>
          <w:szCs w:val="26"/>
        </w:rPr>
      </w:pPr>
    </w:p>
    <w:p w14:paraId="0F403562" w14:textId="77777777" w:rsidR="00027213" w:rsidRDefault="00027213" w:rsidP="007B155D">
      <w:pPr>
        <w:rPr>
          <w:rFonts w:ascii="Verdana" w:hAnsi="Verdana"/>
          <w:b/>
          <w:color w:val="666666"/>
          <w:sz w:val="26"/>
          <w:szCs w:val="26"/>
        </w:rPr>
      </w:pPr>
    </w:p>
    <w:p w14:paraId="6A2D53C6" w14:textId="00CE8E92" w:rsidR="00C12A5C" w:rsidRDefault="00C12A5C" w:rsidP="007B155D">
      <w:r>
        <w:rPr>
          <w:rFonts w:ascii="Verdana" w:hAnsi="Verdana"/>
          <w:b/>
          <w:color w:val="666666"/>
          <w:sz w:val="26"/>
          <w:szCs w:val="26"/>
        </w:rPr>
        <w:t>Correspondent and Wholesale TPO - Online Rate Lock Procedure</w:t>
      </w:r>
      <w:bookmarkEnd w:id="115"/>
    </w:p>
    <w:p w14:paraId="67F3C2F2" w14:textId="77777777" w:rsidR="00C12A5C" w:rsidRDefault="00C12A5C"/>
    <w:p w14:paraId="0D8AACF6" w14:textId="11114468" w:rsidR="00C12A5C" w:rsidRDefault="00C12A5C" w:rsidP="00A8756A">
      <w:pPr>
        <w:pStyle w:val="ListParagraph"/>
        <w:numPr>
          <w:ilvl w:val="0"/>
          <w:numId w:val="46"/>
        </w:numPr>
        <w:contextualSpacing w:val="0"/>
      </w:pPr>
      <w:r>
        <w:t xml:space="preserve">Open your internet browser and navigate to the following URL: </w:t>
      </w:r>
      <w:hyperlink r:id="rId15" w:history="1">
        <w:r w:rsidR="00E449E0" w:rsidRPr="00FD575A">
          <w:rPr>
            <w:rStyle w:val="Hyperlink"/>
          </w:rPr>
          <w:t>https://correspondent.axosbank.com/</w:t>
        </w:r>
      </w:hyperlink>
      <w:r>
        <w:t xml:space="preserve"> .</w:t>
      </w:r>
      <w:r>
        <w:br/>
        <w:t>Enter the login information and click “Sign In”.</w:t>
      </w:r>
      <w:r>
        <w:br/>
      </w:r>
      <w:r>
        <w:lastRenderedPageBreak/>
        <w:br/>
      </w:r>
      <w:r w:rsidR="008344A2">
        <w:rPr>
          <w:noProof/>
        </w:rPr>
        <w:drawing>
          <wp:inline distT="0" distB="0" distL="0" distR="0" wp14:anchorId="5E79F444" wp14:editId="1C7D4825">
            <wp:extent cx="5867400" cy="567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67400" cy="5676900"/>
                    </a:xfrm>
                    <a:prstGeom prst="rect">
                      <a:avLst/>
                    </a:prstGeom>
                  </pic:spPr>
                </pic:pic>
              </a:graphicData>
            </a:graphic>
          </wp:inline>
        </w:drawing>
      </w:r>
    </w:p>
    <w:p w14:paraId="3B5BF932" w14:textId="77777777" w:rsidR="00325FDB" w:rsidRDefault="00325FDB" w:rsidP="00325FDB">
      <w:pPr>
        <w:pStyle w:val="ListParagraph"/>
        <w:contextualSpacing w:val="0"/>
      </w:pPr>
    </w:p>
    <w:p w14:paraId="5273C835" w14:textId="77777777" w:rsidR="00325FDB" w:rsidRDefault="00325FDB" w:rsidP="00325FDB">
      <w:pPr>
        <w:pStyle w:val="ListParagraph"/>
        <w:contextualSpacing w:val="0"/>
      </w:pPr>
    </w:p>
    <w:p w14:paraId="3ED47950" w14:textId="77777777" w:rsidR="00325FDB" w:rsidRDefault="00325FDB" w:rsidP="00325FDB">
      <w:pPr>
        <w:pStyle w:val="ListParagraph"/>
        <w:contextualSpacing w:val="0"/>
      </w:pPr>
    </w:p>
    <w:p w14:paraId="783EC6A7" w14:textId="77777777" w:rsidR="00325FDB" w:rsidRDefault="00325FDB" w:rsidP="00325FDB">
      <w:pPr>
        <w:pStyle w:val="ListParagraph"/>
        <w:contextualSpacing w:val="0"/>
      </w:pPr>
    </w:p>
    <w:p w14:paraId="1B57F7A5" w14:textId="77777777" w:rsidR="00325FDB" w:rsidRDefault="00325FDB" w:rsidP="00325FDB">
      <w:pPr>
        <w:pStyle w:val="ListParagraph"/>
        <w:contextualSpacing w:val="0"/>
      </w:pPr>
    </w:p>
    <w:p w14:paraId="18C43BE7" w14:textId="77777777" w:rsidR="00325FDB" w:rsidRDefault="00325FDB" w:rsidP="00325FDB">
      <w:pPr>
        <w:pStyle w:val="ListParagraph"/>
        <w:contextualSpacing w:val="0"/>
      </w:pPr>
    </w:p>
    <w:p w14:paraId="3B3AC0EB" w14:textId="77777777" w:rsidR="00325FDB" w:rsidRDefault="00325FDB" w:rsidP="00325FDB">
      <w:pPr>
        <w:pStyle w:val="ListParagraph"/>
        <w:contextualSpacing w:val="0"/>
      </w:pPr>
    </w:p>
    <w:p w14:paraId="5807D375" w14:textId="77777777" w:rsidR="00325FDB" w:rsidRDefault="00325FDB" w:rsidP="00325FDB">
      <w:pPr>
        <w:pStyle w:val="ListParagraph"/>
        <w:contextualSpacing w:val="0"/>
      </w:pPr>
    </w:p>
    <w:p w14:paraId="3F481269" w14:textId="77777777" w:rsidR="00325FDB" w:rsidRDefault="00325FDB" w:rsidP="00325FDB">
      <w:pPr>
        <w:pStyle w:val="ListParagraph"/>
        <w:contextualSpacing w:val="0"/>
      </w:pPr>
    </w:p>
    <w:p w14:paraId="4AF716FE" w14:textId="77777777" w:rsidR="00325FDB" w:rsidRDefault="00325FDB" w:rsidP="00325FDB">
      <w:pPr>
        <w:pStyle w:val="ListParagraph"/>
        <w:contextualSpacing w:val="0"/>
      </w:pPr>
    </w:p>
    <w:p w14:paraId="0439E7BE" w14:textId="77777777" w:rsidR="00325FDB" w:rsidRDefault="00325FDB" w:rsidP="00325FDB">
      <w:pPr>
        <w:pStyle w:val="ListParagraph"/>
        <w:contextualSpacing w:val="0"/>
      </w:pPr>
    </w:p>
    <w:p w14:paraId="1C1A1430" w14:textId="6513C99C" w:rsidR="00C12A5C" w:rsidRDefault="00C12A5C" w:rsidP="00A8756A">
      <w:pPr>
        <w:pStyle w:val="ListParagraph"/>
        <w:numPr>
          <w:ilvl w:val="0"/>
          <w:numId w:val="46"/>
        </w:numPr>
        <w:contextualSpacing w:val="0"/>
      </w:pPr>
      <w:r>
        <w:t xml:space="preserve">Once logged in you will see this home page. The home page is where you can upload and register a new loan, upload conditions, view current rate sheets, request rate locks, and view important announcements from </w:t>
      </w:r>
      <w:r w:rsidR="002D1DA1">
        <w:br/>
        <w:t>Axos Bank</w:t>
      </w:r>
      <w:r>
        <w:t>.</w:t>
      </w:r>
      <w:r>
        <w:br/>
      </w:r>
      <w:r>
        <w:lastRenderedPageBreak/>
        <w:br/>
      </w:r>
      <w:r w:rsidR="008344A2">
        <w:rPr>
          <w:noProof/>
        </w:rPr>
        <w:drawing>
          <wp:inline distT="0" distB="0" distL="0" distR="0" wp14:anchorId="432A4E92" wp14:editId="1C8F153E">
            <wp:extent cx="6191250" cy="6524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91250" cy="6524625"/>
                    </a:xfrm>
                    <a:prstGeom prst="rect">
                      <a:avLst/>
                    </a:prstGeom>
                  </pic:spPr>
                </pic:pic>
              </a:graphicData>
            </a:graphic>
          </wp:inline>
        </w:drawing>
      </w:r>
    </w:p>
    <w:p w14:paraId="2F853F78" w14:textId="77777777" w:rsidR="00A83200" w:rsidRDefault="00A83200"/>
    <w:p w14:paraId="5D562534" w14:textId="61F729A1" w:rsidR="00A83200" w:rsidRDefault="00A83200"/>
    <w:p w14:paraId="6204E279" w14:textId="79A691A0" w:rsidR="00287460" w:rsidRDefault="00287460"/>
    <w:p w14:paraId="062DA875" w14:textId="77777777" w:rsidR="00287460" w:rsidRDefault="00287460"/>
    <w:p w14:paraId="4CDE15CE" w14:textId="77777777" w:rsidR="00A83200" w:rsidRDefault="00A83200"/>
    <w:p w14:paraId="7EF75879" w14:textId="77777777" w:rsidR="00C12A5C" w:rsidRDefault="00C12A5C">
      <w:pPr>
        <w:pStyle w:val="ListParagraph"/>
        <w:contextualSpacing w:val="0"/>
      </w:pPr>
    </w:p>
    <w:p w14:paraId="720A1596" w14:textId="4084A6E0" w:rsidR="00C12A5C" w:rsidRDefault="00C12A5C" w:rsidP="00A8756A">
      <w:pPr>
        <w:pStyle w:val="ListParagraph"/>
        <w:numPr>
          <w:ilvl w:val="0"/>
          <w:numId w:val="46"/>
        </w:numPr>
        <w:contextualSpacing w:val="0"/>
      </w:pPr>
      <w:r>
        <w:t xml:space="preserve">Please enter either the </w:t>
      </w:r>
      <w:r w:rsidR="002D1DA1">
        <w:t>Axos Bank</w:t>
      </w:r>
      <w:r>
        <w:t xml:space="preserve"> loan number or borrower last name in the “Loan Search” field and click the magnifying glass icon (search) to find the loan you wish to lock.</w:t>
      </w:r>
      <w:r>
        <w:br/>
      </w:r>
      <w:r>
        <w:lastRenderedPageBreak/>
        <w:br/>
      </w:r>
      <w:r w:rsidR="008344A2">
        <w:rPr>
          <w:noProof/>
        </w:rPr>
        <w:drawing>
          <wp:inline distT="0" distB="0" distL="0" distR="0" wp14:anchorId="19C77816" wp14:editId="4B95B5F7">
            <wp:extent cx="5953125" cy="5724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53125" cy="5724525"/>
                    </a:xfrm>
                    <a:prstGeom prst="rect">
                      <a:avLst/>
                    </a:prstGeom>
                  </pic:spPr>
                </pic:pic>
              </a:graphicData>
            </a:graphic>
          </wp:inline>
        </w:drawing>
      </w:r>
    </w:p>
    <w:p w14:paraId="3C02C4C1" w14:textId="4F15E281" w:rsidR="008344A2" w:rsidRDefault="008344A2" w:rsidP="008344A2">
      <w:pPr>
        <w:pStyle w:val="ListParagraph"/>
        <w:contextualSpacing w:val="0"/>
      </w:pPr>
    </w:p>
    <w:p w14:paraId="159F3BAB" w14:textId="5E47CEFC" w:rsidR="00287460" w:rsidRDefault="00287460" w:rsidP="008344A2">
      <w:pPr>
        <w:pStyle w:val="ListParagraph"/>
        <w:contextualSpacing w:val="0"/>
      </w:pPr>
    </w:p>
    <w:p w14:paraId="03DC8DEA" w14:textId="18C9F445" w:rsidR="00287460" w:rsidRDefault="00287460" w:rsidP="008344A2">
      <w:pPr>
        <w:pStyle w:val="ListParagraph"/>
        <w:contextualSpacing w:val="0"/>
      </w:pPr>
    </w:p>
    <w:p w14:paraId="16ACB8F6" w14:textId="4D469852" w:rsidR="00287460" w:rsidRDefault="00287460" w:rsidP="008344A2">
      <w:pPr>
        <w:pStyle w:val="ListParagraph"/>
        <w:contextualSpacing w:val="0"/>
      </w:pPr>
    </w:p>
    <w:p w14:paraId="284E6F1C" w14:textId="2C10009F" w:rsidR="00287460" w:rsidRDefault="00287460" w:rsidP="008344A2">
      <w:pPr>
        <w:pStyle w:val="ListParagraph"/>
        <w:contextualSpacing w:val="0"/>
      </w:pPr>
    </w:p>
    <w:p w14:paraId="7CF4A01C" w14:textId="4AA24A95" w:rsidR="00287460" w:rsidRDefault="00287460" w:rsidP="008344A2">
      <w:pPr>
        <w:pStyle w:val="ListParagraph"/>
        <w:contextualSpacing w:val="0"/>
      </w:pPr>
    </w:p>
    <w:p w14:paraId="4F141F2E" w14:textId="3283DE3C" w:rsidR="00287460" w:rsidRDefault="00287460" w:rsidP="008344A2">
      <w:pPr>
        <w:pStyle w:val="ListParagraph"/>
        <w:contextualSpacing w:val="0"/>
      </w:pPr>
    </w:p>
    <w:p w14:paraId="07F16FEE" w14:textId="3C62E5F1" w:rsidR="00287460" w:rsidRDefault="00287460" w:rsidP="008344A2">
      <w:pPr>
        <w:pStyle w:val="ListParagraph"/>
        <w:contextualSpacing w:val="0"/>
      </w:pPr>
    </w:p>
    <w:p w14:paraId="391C3282" w14:textId="04FA8A3B" w:rsidR="00287460" w:rsidRDefault="00287460" w:rsidP="008344A2">
      <w:pPr>
        <w:pStyle w:val="ListParagraph"/>
        <w:contextualSpacing w:val="0"/>
      </w:pPr>
    </w:p>
    <w:p w14:paraId="1A95BA06" w14:textId="2A5A2CB7" w:rsidR="00287460" w:rsidRDefault="00287460" w:rsidP="008344A2">
      <w:pPr>
        <w:pStyle w:val="ListParagraph"/>
        <w:contextualSpacing w:val="0"/>
      </w:pPr>
    </w:p>
    <w:p w14:paraId="60723BE0" w14:textId="77777777" w:rsidR="00287460" w:rsidRDefault="00287460" w:rsidP="008344A2">
      <w:pPr>
        <w:pStyle w:val="ListParagraph"/>
        <w:contextualSpacing w:val="0"/>
      </w:pPr>
    </w:p>
    <w:p w14:paraId="231CADAF" w14:textId="6F458AA6" w:rsidR="003550B4" w:rsidRDefault="00C12A5C" w:rsidP="00A8756A">
      <w:pPr>
        <w:pStyle w:val="ListParagraph"/>
        <w:numPr>
          <w:ilvl w:val="0"/>
          <w:numId w:val="46"/>
        </w:numPr>
        <w:contextualSpacing w:val="0"/>
      </w:pPr>
      <w:r>
        <w:t xml:space="preserve">The next screen that appears shows your </w:t>
      </w:r>
      <w:r w:rsidR="002D1DA1">
        <w:t>Axos Bank</w:t>
      </w:r>
      <w:r>
        <w:t xml:space="preserve"> loan number, the borrower name, and other loan level information. Pleas</w:t>
      </w:r>
      <w:r w:rsidR="003550B4">
        <w:t>e click the “Lock Request” tab.</w:t>
      </w:r>
    </w:p>
    <w:p w14:paraId="0AD97A03" w14:textId="14C7AF5F" w:rsidR="00A83200" w:rsidRDefault="00C12A5C" w:rsidP="003550B4">
      <w:pPr>
        <w:pStyle w:val="ListParagraph"/>
        <w:contextualSpacing w:val="0"/>
        <w:jc w:val="center"/>
      </w:pPr>
      <w:r>
        <w:lastRenderedPageBreak/>
        <w:br/>
      </w:r>
      <w:r w:rsidR="008344A2">
        <w:rPr>
          <w:noProof/>
        </w:rPr>
        <w:drawing>
          <wp:inline distT="0" distB="0" distL="0" distR="0" wp14:anchorId="4B9F860F" wp14:editId="2531A7BF">
            <wp:extent cx="6096000" cy="529526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96000" cy="5295265"/>
                    </a:xfrm>
                    <a:prstGeom prst="rect">
                      <a:avLst/>
                    </a:prstGeom>
                  </pic:spPr>
                </pic:pic>
              </a:graphicData>
            </a:graphic>
          </wp:inline>
        </w:drawing>
      </w:r>
    </w:p>
    <w:p w14:paraId="542A88AD" w14:textId="0F359565" w:rsidR="00C12A5C" w:rsidRDefault="00C12A5C">
      <w:r>
        <w:br/>
      </w:r>
    </w:p>
    <w:p w14:paraId="15B0F393" w14:textId="4E7AC051" w:rsidR="00287460" w:rsidRDefault="00287460"/>
    <w:p w14:paraId="5630AFED" w14:textId="39B7DD90" w:rsidR="00287460" w:rsidRDefault="00287460"/>
    <w:p w14:paraId="5DBBB461" w14:textId="74638EBA" w:rsidR="00287460" w:rsidRDefault="00287460"/>
    <w:p w14:paraId="2A675CAC" w14:textId="248DF79D" w:rsidR="00287460" w:rsidRDefault="00287460"/>
    <w:p w14:paraId="7561070B" w14:textId="3F7BCE29" w:rsidR="00287460" w:rsidRDefault="00287460"/>
    <w:p w14:paraId="0BA0C082" w14:textId="3F3F4397" w:rsidR="00287460" w:rsidRDefault="00287460"/>
    <w:p w14:paraId="7910D13E" w14:textId="69765C01" w:rsidR="00287460" w:rsidRDefault="00287460"/>
    <w:p w14:paraId="7CB48BF8" w14:textId="12E406F5" w:rsidR="00287460" w:rsidRDefault="00287460"/>
    <w:p w14:paraId="50EBABA9" w14:textId="38224820" w:rsidR="00287460" w:rsidRDefault="00287460"/>
    <w:p w14:paraId="1635CAB2" w14:textId="37FDC303" w:rsidR="00287460" w:rsidRDefault="00287460"/>
    <w:p w14:paraId="1D2F2DBF" w14:textId="4C365F0F" w:rsidR="00287460" w:rsidRDefault="00287460"/>
    <w:p w14:paraId="5CE99BFD" w14:textId="77777777" w:rsidR="00287460" w:rsidRDefault="00287460"/>
    <w:p w14:paraId="3AD6056E" w14:textId="77777777" w:rsidR="003550B4" w:rsidRDefault="00C12A5C" w:rsidP="00A8756A">
      <w:pPr>
        <w:pStyle w:val="ListParagraph"/>
        <w:numPr>
          <w:ilvl w:val="0"/>
          <w:numId w:val="46"/>
        </w:numPr>
        <w:contextualSpacing w:val="0"/>
      </w:pPr>
      <w:r>
        <w:t>Lock Request Tab: Please review your loan information to make sure the information is correct. Once satisfied that your information is correct please click the “Price Loan” button shown below.</w:t>
      </w:r>
    </w:p>
    <w:p w14:paraId="7ECA288A" w14:textId="0CECD7CE" w:rsidR="00C12A5C" w:rsidRDefault="00C12A5C" w:rsidP="003550B4">
      <w:pPr>
        <w:pStyle w:val="ListParagraph"/>
        <w:contextualSpacing w:val="0"/>
        <w:jc w:val="center"/>
      </w:pPr>
      <w:r>
        <w:lastRenderedPageBreak/>
        <w:br/>
      </w:r>
      <w:r w:rsidR="008344A2">
        <w:rPr>
          <w:noProof/>
        </w:rPr>
        <w:drawing>
          <wp:inline distT="0" distB="0" distL="0" distR="0" wp14:anchorId="751FA272" wp14:editId="7847452B">
            <wp:extent cx="6162675" cy="385318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62675" cy="3853180"/>
                    </a:xfrm>
                    <a:prstGeom prst="rect">
                      <a:avLst/>
                    </a:prstGeom>
                  </pic:spPr>
                </pic:pic>
              </a:graphicData>
            </a:graphic>
          </wp:inline>
        </w:drawing>
      </w:r>
      <w:r>
        <w:br/>
      </w:r>
    </w:p>
    <w:p w14:paraId="2C823237" w14:textId="7686413A" w:rsidR="000F58AB" w:rsidRDefault="000F58AB">
      <w:pPr>
        <w:pStyle w:val="ListParagraph"/>
        <w:contextualSpacing w:val="0"/>
      </w:pPr>
    </w:p>
    <w:p w14:paraId="17814210" w14:textId="71F18266" w:rsidR="00287460" w:rsidRDefault="00287460">
      <w:pPr>
        <w:pStyle w:val="ListParagraph"/>
        <w:contextualSpacing w:val="0"/>
      </w:pPr>
    </w:p>
    <w:p w14:paraId="5924668F" w14:textId="6FB6093E" w:rsidR="00287460" w:rsidRDefault="00287460">
      <w:pPr>
        <w:pStyle w:val="ListParagraph"/>
        <w:contextualSpacing w:val="0"/>
      </w:pPr>
    </w:p>
    <w:p w14:paraId="358D94F9" w14:textId="72D23A37" w:rsidR="00287460" w:rsidRDefault="00287460">
      <w:pPr>
        <w:pStyle w:val="ListParagraph"/>
        <w:contextualSpacing w:val="0"/>
      </w:pPr>
    </w:p>
    <w:p w14:paraId="06103B95" w14:textId="50413A80" w:rsidR="00287460" w:rsidRDefault="00287460">
      <w:pPr>
        <w:pStyle w:val="ListParagraph"/>
        <w:contextualSpacing w:val="0"/>
      </w:pPr>
    </w:p>
    <w:p w14:paraId="716E2726" w14:textId="28780B4E" w:rsidR="00287460" w:rsidRDefault="00287460">
      <w:pPr>
        <w:pStyle w:val="ListParagraph"/>
        <w:contextualSpacing w:val="0"/>
      </w:pPr>
    </w:p>
    <w:p w14:paraId="20567519" w14:textId="6C7549B4" w:rsidR="00287460" w:rsidRDefault="00287460">
      <w:pPr>
        <w:pStyle w:val="ListParagraph"/>
        <w:contextualSpacing w:val="0"/>
      </w:pPr>
    </w:p>
    <w:p w14:paraId="6A996FE8" w14:textId="1DACD31B" w:rsidR="00287460" w:rsidRDefault="00287460">
      <w:pPr>
        <w:pStyle w:val="ListParagraph"/>
        <w:contextualSpacing w:val="0"/>
      </w:pPr>
    </w:p>
    <w:p w14:paraId="0A2B7593" w14:textId="3A13A473" w:rsidR="00287460" w:rsidRDefault="00287460">
      <w:pPr>
        <w:pStyle w:val="ListParagraph"/>
        <w:contextualSpacing w:val="0"/>
      </w:pPr>
    </w:p>
    <w:p w14:paraId="1E98A2E0" w14:textId="38E3AEB2" w:rsidR="00287460" w:rsidRDefault="00287460">
      <w:pPr>
        <w:pStyle w:val="ListParagraph"/>
        <w:contextualSpacing w:val="0"/>
      </w:pPr>
    </w:p>
    <w:p w14:paraId="11B1A5BA" w14:textId="6D931A5D" w:rsidR="00287460" w:rsidRDefault="00287460">
      <w:pPr>
        <w:pStyle w:val="ListParagraph"/>
        <w:contextualSpacing w:val="0"/>
      </w:pPr>
    </w:p>
    <w:p w14:paraId="3F674703" w14:textId="75BFDCEF" w:rsidR="00287460" w:rsidRDefault="00287460">
      <w:pPr>
        <w:pStyle w:val="ListParagraph"/>
        <w:contextualSpacing w:val="0"/>
      </w:pPr>
    </w:p>
    <w:p w14:paraId="5C8BBF6C" w14:textId="1D87E46A" w:rsidR="00287460" w:rsidRDefault="00287460">
      <w:pPr>
        <w:pStyle w:val="ListParagraph"/>
        <w:contextualSpacing w:val="0"/>
      </w:pPr>
    </w:p>
    <w:p w14:paraId="01527A19" w14:textId="3EB29500" w:rsidR="00287460" w:rsidRDefault="00287460">
      <w:pPr>
        <w:pStyle w:val="ListParagraph"/>
        <w:contextualSpacing w:val="0"/>
      </w:pPr>
    </w:p>
    <w:p w14:paraId="640B0720" w14:textId="62C9E16F" w:rsidR="00287460" w:rsidRDefault="00287460">
      <w:pPr>
        <w:pStyle w:val="ListParagraph"/>
        <w:contextualSpacing w:val="0"/>
      </w:pPr>
    </w:p>
    <w:p w14:paraId="75DA3B7C" w14:textId="0AC70761" w:rsidR="00287460" w:rsidRDefault="00287460">
      <w:pPr>
        <w:pStyle w:val="ListParagraph"/>
        <w:contextualSpacing w:val="0"/>
      </w:pPr>
    </w:p>
    <w:p w14:paraId="1072BBBB" w14:textId="4DF65E9C" w:rsidR="00287460" w:rsidRDefault="00287460">
      <w:pPr>
        <w:pStyle w:val="ListParagraph"/>
        <w:contextualSpacing w:val="0"/>
      </w:pPr>
    </w:p>
    <w:p w14:paraId="7F987710" w14:textId="0BD663AD" w:rsidR="00287460" w:rsidRDefault="00287460">
      <w:pPr>
        <w:pStyle w:val="ListParagraph"/>
        <w:contextualSpacing w:val="0"/>
      </w:pPr>
    </w:p>
    <w:p w14:paraId="3ABAAA35" w14:textId="17DF6CEA" w:rsidR="00287460" w:rsidRDefault="00287460">
      <w:pPr>
        <w:pStyle w:val="ListParagraph"/>
        <w:contextualSpacing w:val="0"/>
      </w:pPr>
    </w:p>
    <w:p w14:paraId="71620C9F" w14:textId="6E2F295D" w:rsidR="00287460" w:rsidRDefault="00287460">
      <w:pPr>
        <w:pStyle w:val="ListParagraph"/>
        <w:contextualSpacing w:val="0"/>
      </w:pPr>
    </w:p>
    <w:p w14:paraId="2252C27B" w14:textId="77777777" w:rsidR="00287460" w:rsidRDefault="00287460">
      <w:pPr>
        <w:pStyle w:val="ListParagraph"/>
        <w:contextualSpacing w:val="0"/>
      </w:pPr>
    </w:p>
    <w:p w14:paraId="19CD3A08" w14:textId="77777777" w:rsidR="000F58AB" w:rsidRDefault="000F58AB">
      <w:pPr>
        <w:pStyle w:val="ListParagraph"/>
        <w:contextualSpacing w:val="0"/>
      </w:pPr>
    </w:p>
    <w:p w14:paraId="781E78E1" w14:textId="77777777" w:rsidR="003550B4" w:rsidRDefault="00C12A5C" w:rsidP="00A8756A">
      <w:pPr>
        <w:pStyle w:val="ListParagraph"/>
        <w:numPr>
          <w:ilvl w:val="0"/>
          <w:numId w:val="46"/>
        </w:numPr>
        <w:contextualSpacing w:val="0"/>
      </w:pPr>
      <w:r>
        <w:t xml:space="preserve">A new window will appear that has most of the loan information pre-populated. Please review the information and answer all questions marked with a red dot (required). In this section you will be required to select your compensation plan and other special features that may/may </w:t>
      </w:r>
      <w:r w:rsidR="003550B4">
        <w:t>not be applicable to your loan.</w:t>
      </w:r>
    </w:p>
    <w:p w14:paraId="7137F468" w14:textId="154D64CD" w:rsidR="00C12A5C" w:rsidRDefault="00C12A5C" w:rsidP="003550B4">
      <w:pPr>
        <w:pStyle w:val="ListParagraph"/>
        <w:contextualSpacing w:val="0"/>
        <w:jc w:val="center"/>
      </w:pPr>
      <w:r>
        <w:lastRenderedPageBreak/>
        <w:br/>
      </w:r>
      <w:r>
        <w:rPr>
          <w:noProof/>
        </w:rPr>
        <w:drawing>
          <wp:inline distT="0" distB="0" distL="0" distR="0" wp14:anchorId="7CFBC715" wp14:editId="621158DA">
            <wp:extent cx="4589253" cy="4520676"/>
            <wp:effectExtent l="0" t="0" r="1905" b="0"/>
            <wp:docPr id="9" name="Picture 9" descr="C:\Users\jknight\AppData\Local\Temp\SNAGHTML28c530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knight\AppData\Local\Temp\SNAGHTML28c530f5.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26035" cy="4556908"/>
                    </a:xfrm>
                    <a:prstGeom prst="rect">
                      <a:avLst/>
                    </a:prstGeom>
                    <a:noFill/>
                    <a:ln>
                      <a:noFill/>
                    </a:ln>
                  </pic:spPr>
                </pic:pic>
              </a:graphicData>
            </a:graphic>
          </wp:inline>
        </w:drawing>
      </w:r>
    </w:p>
    <w:p w14:paraId="5520B8C1" w14:textId="77777777" w:rsidR="00287460" w:rsidRDefault="00287460" w:rsidP="003550B4">
      <w:pPr>
        <w:pStyle w:val="ListParagraph"/>
        <w:contextualSpacing w:val="0"/>
        <w:jc w:val="center"/>
      </w:pPr>
    </w:p>
    <w:p w14:paraId="0AA84022" w14:textId="77777777" w:rsidR="00C12A5C" w:rsidRDefault="00C12A5C"/>
    <w:p w14:paraId="102F580B" w14:textId="77777777" w:rsidR="00C12A5C" w:rsidRDefault="00C12A5C" w:rsidP="00A8756A">
      <w:pPr>
        <w:pStyle w:val="ListParagraph"/>
        <w:numPr>
          <w:ilvl w:val="0"/>
          <w:numId w:val="46"/>
        </w:numPr>
        <w:contextualSpacing w:val="0"/>
      </w:pPr>
      <w:r>
        <w:t xml:space="preserve">In this example we will select the compensation plan as Wholesale/Lender Paid (shown below). We offer both Lender Paid and Borrower Paid comp plans for Wholesale partners. If you are a Correspondent partner you would select “No” for the question “Is this a Wholesale Loan” and “No” for the question “Include Compensation in Pricing”. </w:t>
      </w:r>
      <w:r>
        <w:br/>
      </w:r>
      <w:r>
        <w:br/>
      </w:r>
      <w:r>
        <w:rPr>
          <w:noProof/>
        </w:rPr>
        <w:drawing>
          <wp:inline distT="0" distB="0" distL="0" distR="0" wp14:anchorId="4E8A9682" wp14:editId="35BCE7F9">
            <wp:extent cx="6295697" cy="116635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69532" cy="1180035"/>
                    </a:xfrm>
                    <a:prstGeom prst="rect">
                      <a:avLst/>
                    </a:prstGeom>
                  </pic:spPr>
                </pic:pic>
              </a:graphicData>
            </a:graphic>
          </wp:inline>
        </w:drawing>
      </w:r>
      <w:r>
        <w:br/>
      </w:r>
    </w:p>
    <w:p w14:paraId="3FA13044" w14:textId="77777777" w:rsidR="003550B4" w:rsidRDefault="003550B4" w:rsidP="003550B4"/>
    <w:p w14:paraId="59E9E7A2" w14:textId="77777777" w:rsidR="003550B4" w:rsidRDefault="003550B4" w:rsidP="003550B4"/>
    <w:p w14:paraId="7D681DBF" w14:textId="6BF7EF1B" w:rsidR="003550B4" w:rsidRDefault="003550B4" w:rsidP="003550B4"/>
    <w:p w14:paraId="219CD6FF" w14:textId="77777777" w:rsidR="00287460" w:rsidRDefault="00287460" w:rsidP="003550B4"/>
    <w:p w14:paraId="035155E6" w14:textId="77777777" w:rsidR="00C12A5C" w:rsidRDefault="00C12A5C" w:rsidP="00A8756A">
      <w:pPr>
        <w:pStyle w:val="ListParagraph"/>
        <w:numPr>
          <w:ilvl w:val="0"/>
          <w:numId w:val="46"/>
        </w:numPr>
        <w:contextualSpacing w:val="0"/>
      </w:pPr>
      <w:r>
        <w:t xml:space="preserve">At this point once you are able to request pricing. Simply click either of the “Submit” buttons located on the top and bottom of the page. </w:t>
      </w:r>
    </w:p>
    <w:p w14:paraId="6258F8FF" w14:textId="77777777" w:rsidR="00A83200" w:rsidRDefault="00C12A5C">
      <w:pPr>
        <w:pStyle w:val="ListParagraph"/>
        <w:contextualSpacing w:val="0"/>
      </w:pPr>
      <w:r>
        <w:lastRenderedPageBreak/>
        <w:br/>
      </w:r>
      <w:r>
        <w:rPr>
          <w:noProof/>
        </w:rPr>
        <w:drawing>
          <wp:inline distT="0" distB="0" distL="0" distR="0" wp14:anchorId="2B1C00C4" wp14:editId="6C5639B7">
            <wp:extent cx="6324272" cy="2108091"/>
            <wp:effectExtent l="0" t="0" r="635"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68476" cy="2156159"/>
                    </a:xfrm>
                    <a:prstGeom prst="rect">
                      <a:avLst/>
                    </a:prstGeom>
                  </pic:spPr>
                </pic:pic>
              </a:graphicData>
            </a:graphic>
          </wp:inline>
        </w:drawing>
      </w:r>
    </w:p>
    <w:p w14:paraId="0A55416F" w14:textId="77777777" w:rsidR="00A83200" w:rsidRDefault="00A83200">
      <w:pPr>
        <w:pStyle w:val="ListParagraph"/>
        <w:contextualSpacing w:val="0"/>
      </w:pPr>
    </w:p>
    <w:p w14:paraId="03BBEDEF" w14:textId="77777777" w:rsidR="00A83200" w:rsidRDefault="00A83200">
      <w:pPr>
        <w:pStyle w:val="ListParagraph"/>
        <w:contextualSpacing w:val="0"/>
      </w:pPr>
    </w:p>
    <w:p w14:paraId="35B23629" w14:textId="77777777" w:rsidR="003550B4" w:rsidRDefault="00C12A5C" w:rsidP="00A8756A">
      <w:pPr>
        <w:pStyle w:val="ListParagraph"/>
        <w:numPr>
          <w:ilvl w:val="0"/>
          <w:numId w:val="46"/>
        </w:numPr>
        <w:contextualSpacing w:val="0"/>
      </w:pPr>
      <w:r>
        <w:t>The next screen that appears is the rate stack for the program. The orange line shows the pricing for the rate you have selected within your loan submission. Click the price under the appropriate lock term to move to the final lock request screen (shown below). The screen shot below shows we selected 5% @ 99</w:t>
      </w:r>
      <w:r w:rsidR="003550B4">
        <w:t>.844 for 21 days as an example.</w:t>
      </w:r>
    </w:p>
    <w:p w14:paraId="0B094BE0" w14:textId="10D49385" w:rsidR="00C12A5C" w:rsidRDefault="00C12A5C" w:rsidP="003550B4">
      <w:pPr>
        <w:pStyle w:val="ListParagraph"/>
        <w:contextualSpacing w:val="0"/>
        <w:jc w:val="center"/>
      </w:pPr>
      <w:r>
        <w:br/>
      </w:r>
      <w:r>
        <w:rPr>
          <w:noProof/>
        </w:rPr>
        <w:drawing>
          <wp:inline distT="0" distB="0" distL="0" distR="0" wp14:anchorId="42F10B81" wp14:editId="7A52E5FB">
            <wp:extent cx="4381204" cy="453749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03428" cy="4560512"/>
                    </a:xfrm>
                    <a:prstGeom prst="rect">
                      <a:avLst/>
                    </a:prstGeom>
                  </pic:spPr>
                </pic:pic>
              </a:graphicData>
            </a:graphic>
          </wp:inline>
        </w:drawing>
      </w:r>
    </w:p>
    <w:p w14:paraId="7EB08439" w14:textId="77777777" w:rsidR="00C12A5C" w:rsidRDefault="00C12A5C"/>
    <w:p w14:paraId="02C758CF" w14:textId="77777777" w:rsidR="003550B4" w:rsidRDefault="00C12A5C" w:rsidP="00A8756A">
      <w:pPr>
        <w:pStyle w:val="ListParagraph"/>
        <w:numPr>
          <w:ilvl w:val="0"/>
          <w:numId w:val="46"/>
        </w:numPr>
        <w:contextualSpacing w:val="0"/>
      </w:pPr>
      <w:r>
        <w:lastRenderedPageBreak/>
        <w:t>After selecting the price you will see the summary page. On this page you will see the “Request Lock/Save to LOS” button. Make sure to complete the field for the email address you want the lock confirmation sent to, it is a required field. Once you have completed the email field you are able to request rate lock. Click “Request Lock/Save to L</w:t>
      </w:r>
      <w:r w:rsidR="003550B4">
        <w:t>OS” to submit the lock request.</w:t>
      </w:r>
    </w:p>
    <w:p w14:paraId="54CD7338" w14:textId="34A6B04D" w:rsidR="00C12A5C" w:rsidRDefault="00C12A5C" w:rsidP="003550B4">
      <w:pPr>
        <w:pStyle w:val="ListParagraph"/>
        <w:contextualSpacing w:val="0"/>
        <w:jc w:val="center"/>
      </w:pPr>
      <w:r>
        <w:br/>
      </w:r>
      <w:r>
        <w:rPr>
          <w:noProof/>
        </w:rPr>
        <w:drawing>
          <wp:inline distT="0" distB="0" distL="0" distR="0" wp14:anchorId="762FA282" wp14:editId="7218BDD6">
            <wp:extent cx="5138791" cy="259279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54875" cy="2600905"/>
                    </a:xfrm>
                    <a:prstGeom prst="rect">
                      <a:avLst/>
                    </a:prstGeom>
                  </pic:spPr>
                </pic:pic>
              </a:graphicData>
            </a:graphic>
          </wp:inline>
        </w:drawing>
      </w:r>
      <w:r>
        <w:br/>
      </w:r>
    </w:p>
    <w:p w14:paraId="68CA1690" w14:textId="77777777" w:rsidR="00C12A5C" w:rsidRDefault="00C12A5C" w:rsidP="00A8756A">
      <w:pPr>
        <w:pStyle w:val="ListParagraph"/>
        <w:numPr>
          <w:ilvl w:val="0"/>
          <w:numId w:val="46"/>
        </w:numPr>
        <w:contextualSpacing w:val="0"/>
      </w:pPr>
      <w:r>
        <w:t>After you click the “Request Lock/Save to LOS” button you will see a final message that shows your rate lock was submitted.</w:t>
      </w:r>
      <w:r>
        <w:br/>
      </w:r>
      <w:r>
        <w:br/>
      </w:r>
      <w:r>
        <w:rPr>
          <w:noProof/>
        </w:rPr>
        <w:drawing>
          <wp:inline distT="0" distB="0" distL="0" distR="0" wp14:anchorId="1A7182A0" wp14:editId="0FAD02F4">
            <wp:extent cx="6019048" cy="4028571"/>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019048" cy="4028571"/>
                    </a:xfrm>
                    <a:prstGeom prst="rect">
                      <a:avLst/>
                    </a:prstGeom>
                  </pic:spPr>
                </pic:pic>
              </a:graphicData>
            </a:graphic>
          </wp:inline>
        </w:drawing>
      </w:r>
    </w:p>
    <w:p w14:paraId="5E4D12FE" w14:textId="77777777" w:rsidR="00C12A5C" w:rsidRPr="00F17A82" w:rsidRDefault="00C12A5C">
      <w:pPr>
        <w:rPr>
          <w:b/>
        </w:rPr>
      </w:pPr>
      <w:r w:rsidRPr="00F17A82">
        <w:rPr>
          <w:b/>
        </w:rPr>
        <w:t>Helpful tips for successful use of the Optimal Blue interface.</w:t>
      </w:r>
    </w:p>
    <w:p w14:paraId="4DDE9169" w14:textId="77777777" w:rsidR="00C12A5C" w:rsidRDefault="00C12A5C">
      <w:pPr>
        <w:pStyle w:val="ListParagraph"/>
      </w:pPr>
    </w:p>
    <w:p w14:paraId="6E7D3BA3" w14:textId="77777777" w:rsidR="00C12A5C" w:rsidRDefault="00C12A5C" w:rsidP="00A8756A">
      <w:pPr>
        <w:pStyle w:val="ListParagraph"/>
        <w:numPr>
          <w:ilvl w:val="0"/>
          <w:numId w:val="47"/>
        </w:numPr>
        <w:contextualSpacing w:val="0"/>
      </w:pPr>
      <w:r>
        <w:t>Rate changes: If your loan is “Approved” you will not be able to make changes to the rate through the Optimal Blue interface. Rate changes on approved loans will need to be reviewed by the underwriter to ensure the DTI increase does not affect the overall eligibility of the loan. If you need to make a change please contact your Account Manager, the Lock Desk, or your Account Executive to initiate the change request. Changes are generally completed very quickly for most cases.</w:t>
      </w:r>
      <w:r>
        <w:br/>
      </w:r>
    </w:p>
    <w:p w14:paraId="5565DBE4" w14:textId="77777777" w:rsidR="00C12A5C" w:rsidRDefault="00C12A5C" w:rsidP="00A8756A">
      <w:pPr>
        <w:pStyle w:val="ListParagraph"/>
        <w:numPr>
          <w:ilvl w:val="0"/>
          <w:numId w:val="47"/>
        </w:numPr>
        <w:contextualSpacing w:val="0"/>
      </w:pPr>
      <w:r>
        <w:t>Required fields: Please review the required fields thoroughly. Your loan approval will note whether your loan was approved with Asset Depletion, Pledged Assets, or Cross Collateralization. Please make sure to select yes or no for these questions as you will not be able to move forward without answering</w:t>
      </w:r>
      <w:r>
        <w:br/>
      </w:r>
    </w:p>
    <w:p w14:paraId="3FB1A773" w14:textId="77777777" w:rsidR="00C12A5C" w:rsidRDefault="00C12A5C" w:rsidP="00A8756A">
      <w:pPr>
        <w:pStyle w:val="ListParagraph"/>
        <w:numPr>
          <w:ilvl w:val="0"/>
          <w:numId w:val="47"/>
        </w:numPr>
        <w:contextualSpacing w:val="0"/>
      </w:pPr>
      <w:r>
        <w:t>Comp plans: Please make sure to select the appropriate comp plan for your loan. If you are a Wholesale Broker you will have the choice of Lender Paid or Borrower Paid compensation. Please make sure to select the correct comp plans as there is a large pricing difference between the two plans. Correspondents will always choose “borrower paid” in the comp plan selection.</w:t>
      </w:r>
      <w:r>
        <w:br/>
      </w:r>
    </w:p>
    <w:p w14:paraId="1D71B6A7" w14:textId="749BB8F0" w:rsidR="00C12A5C" w:rsidRDefault="00C12A5C" w:rsidP="00A8756A">
      <w:pPr>
        <w:pStyle w:val="ListParagraph"/>
        <w:numPr>
          <w:ilvl w:val="0"/>
          <w:numId w:val="47"/>
        </w:numPr>
        <w:contextualSpacing w:val="0"/>
      </w:pPr>
      <w:r>
        <w:t xml:space="preserve">If you have questions or need help please email </w:t>
      </w:r>
      <w:hyperlink r:id="rId27" w:history="1">
        <w:r w:rsidR="00E449E0" w:rsidRPr="00FD575A">
          <w:rPr>
            <w:rStyle w:val="Hyperlink"/>
          </w:rPr>
          <w:t>lockdesk@axosbank.com</w:t>
        </w:r>
      </w:hyperlink>
      <w:r>
        <w:t xml:space="preserve">. </w:t>
      </w:r>
    </w:p>
    <w:p w14:paraId="2E78F046" w14:textId="77777777" w:rsidR="00C12A5C" w:rsidRPr="000016AE" w:rsidRDefault="00C12A5C">
      <w:pPr>
        <w:rPr>
          <w:color w:val="1F161F"/>
          <w:w w:val="110"/>
          <w:sz w:val="21"/>
          <w:szCs w:val="21"/>
        </w:rPr>
      </w:pPr>
    </w:p>
    <w:sectPr w:rsidR="00C12A5C" w:rsidRPr="000016AE" w:rsidSect="000D5E73">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08DBE" w14:textId="77777777" w:rsidR="005036E4" w:rsidRDefault="005036E4" w:rsidP="00CE2570">
      <w:r>
        <w:separator/>
      </w:r>
    </w:p>
  </w:endnote>
  <w:endnote w:type="continuationSeparator" w:id="0">
    <w:p w14:paraId="3C2F3C26" w14:textId="77777777" w:rsidR="005036E4" w:rsidRDefault="005036E4" w:rsidP="00CE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554300592"/>
      <w:docPartObj>
        <w:docPartGallery w:val="Page Numbers (Bottom of Page)"/>
        <w:docPartUnique/>
      </w:docPartObj>
    </w:sdtPr>
    <w:sdtEndPr>
      <w:rPr>
        <w:noProof/>
      </w:rPr>
    </w:sdtEndPr>
    <w:sdtContent>
      <w:p w14:paraId="47EF38C7" w14:textId="45CDC95F" w:rsidR="00270CC2" w:rsidRPr="000B269A" w:rsidRDefault="00270CC2">
        <w:pPr>
          <w:pStyle w:val="Footer"/>
          <w:jc w:val="center"/>
          <w:rPr>
            <w:i/>
          </w:rPr>
        </w:pPr>
        <w:r w:rsidRPr="000B269A">
          <w:rPr>
            <w:i/>
          </w:rPr>
          <w:fldChar w:fldCharType="begin"/>
        </w:r>
        <w:r w:rsidRPr="000B269A">
          <w:rPr>
            <w:i/>
          </w:rPr>
          <w:instrText xml:space="preserve"> PAGE   \* MERGEFORMAT </w:instrText>
        </w:r>
        <w:r w:rsidRPr="000B269A">
          <w:rPr>
            <w:i/>
          </w:rPr>
          <w:fldChar w:fldCharType="separate"/>
        </w:r>
        <w:r w:rsidR="00BE3A2A">
          <w:rPr>
            <w:i/>
            <w:noProof/>
          </w:rPr>
          <w:t>37</w:t>
        </w:r>
        <w:r w:rsidRPr="000B269A">
          <w:rPr>
            <w: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595C5" w14:textId="77777777" w:rsidR="005036E4" w:rsidRDefault="005036E4" w:rsidP="00CE2570">
      <w:r>
        <w:separator/>
      </w:r>
    </w:p>
  </w:footnote>
  <w:footnote w:type="continuationSeparator" w:id="0">
    <w:p w14:paraId="60315A68" w14:textId="77777777" w:rsidR="005036E4" w:rsidRDefault="005036E4" w:rsidP="00CE2570">
      <w:r>
        <w:continuationSeparator/>
      </w:r>
    </w:p>
  </w:footnote>
  <w:footnote w:id="1">
    <w:p w14:paraId="1D650338" w14:textId="0C81BE80" w:rsidR="00270CC2" w:rsidRDefault="00270CC2">
      <w:pPr>
        <w:pStyle w:val="FootnoteText"/>
      </w:pPr>
      <w:r>
        <w:rPr>
          <w:rStyle w:val="FootnoteReference"/>
        </w:rPr>
        <w:footnoteRef/>
      </w:r>
      <w:r>
        <w:t xml:space="preserve"> Effective Date 01/22/2018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51702" w14:textId="7A2BB7FE" w:rsidR="00270CC2" w:rsidRDefault="00270CC2" w:rsidP="00BC0777">
    <w:pPr>
      <w:jc w:val="center"/>
    </w:pPr>
    <w:r>
      <w:rPr>
        <w:rFonts w:ascii="Times New Roman" w:eastAsia="Times New Roman" w:hAnsi="Times New Roman" w:cs="Times New Roman"/>
        <w:noProof/>
        <w:sz w:val="20"/>
        <w:szCs w:val="20"/>
      </w:rPr>
      <w:drawing>
        <wp:anchor distT="0" distB="0" distL="114300" distR="114300" simplePos="0" relativeHeight="251660288" behindDoc="0" locked="0" layoutInCell="1" allowOverlap="0" wp14:anchorId="7A3E8A93" wp14:editId="68C09C98">
          <wp:simplePos x="0" y="0"/>
          <wp:positionH relativeFrom="column">
            <wp:posOffset>1463</wp:posOffset>
          </wp:positionH>
          <wp:positionV relativeFrom="page">
            <wp:posOffset>457200</wp:posOffset>
          </wp:positionV>
          <wp:extent cx="1167505" cy="384048"/>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xos_Bank_Palette1_CMYK.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7505" cy="3840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B07AAC" w14:textId="77777777" w:rsidR="00270CC2" w:rsidRDefault="00270CC2" w:rsidP="00BC0777">
    <w:pPr>
      <w:jc w:val="center"/>
    </w:pPr>
  </w:p>
  <w:p w14:paraId="1F5EF53F" w14:textId="67817D6B" w:rsidR="00270CC2" w:rsidRDefault="00270CC2" w:rsidP="00BC0777">
    <w:pPr>
      <w:jc w:val="center"/>
    </w:pPr>
    <w:r w:rsidRPr="00BC077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B6C"/>
    <w:multiLevelType w:val="hybridMultilevel"/>
    <w:tmpl w:val="8A9AB7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3BB5275"/>
    <w:multiLevelType w:val="hybridMultilevel"/>
    <w:tmpl w:val="37DA2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25FEF"/>
    <w:multiLevelType w:val="hybridMultilevel"/>
    <w:tmpl w:val="5934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8279D"/>
    <w:multiLevelType w:val="hybridMultilevel"/>
    <w:tmpl w:val="26529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E07A2B"/>
    <w:multiLevelType w:val="hybridMultilevel"/>
    <w:tmpl w:val="9BEC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E0630"/>
    <w:multiLevelType w:val="hybridMultilevel"/>
    <w:tmpl w:val="3D7AE38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0F83398D"/>
    <w:multiLevelType w:val="hybridMultilevel"/>
    <w:tmpl w:val="8834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96F4B"/>
    <w:multiLevelType w:val="hybridMultilevel"/>
    <w:tmpl w:val="9ADE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71494"/>
    <w:multiLevelType w:val="hybridMultilevel"/>
    <w:tmpl w:val="65922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CA4992"/>
    <w:multiLevelType w:val="hybridMultilevel"/>
    <w:tmpl w:val="AEF8E682"/>
    <w:lvl w:ilvl="0" w:tplc="04090001">
      <w:start w:val="1"/>
      <w:numFmt w:val="bullet"/>
      <w:lvlText w:val=""/>
      <w:lvlJc w:val="left"/>
      <w:pPr>
        <w:tabs>
          <w:tab w:val="num" w:pos="360"/>
        </w:tabs>
        <w:ind w:left="360" w:hanging="360"/>
      </w:pPr>
      <w:rPr>
        <w:rFonts w:ascii="Symbol" w:hAnsi="Symbol" w:hint="default"/>
      </w:rPr>
    </w:lvl>
    <w:lvl w:ilvl="1" w:tplc="A8122B0C" w:tentative="1">
      <w:start w:val="1"/>
      <w:numFmt w:val="bullet"/>
      <w:lvlText w:val="•"/>
      <w:lvlJc w:val="left"/>
      <w:pPr>
        <w:tabs>
          <w:tab w:val="num" w:pos="1080"/>
        </w:tabs>
        <w:ind w:left="1080" w:hanging="360"/>
      </w:pPr>
      <w:rPr>
        <w:rFonts w:ascii="Arial" w:hAnsi="Arial" w:hint="default"/>
      </w:rPr>
    </w:lvl>
    <w:lvl w:ilvl="2" w:tplc="D5DAB6C4" w:tentative="1">
      <w:start w:val="1"/>
      <w:numFmt w:val="bullet"/>
      <w:lvlText w:val="•"/>
      <w:lvlJc w:val="left"/>
      <w:pPr>
        <w:tabs>
          <w:tab w:val="num" w:pos="1800"/>
        </w:tabs>
        <w:ind w:left="1800" w:hanging="360"/>
      </w:pPr>
      <w:rPr>
        <w:rFonts w:ascii="Arial" w:hAnsi="Arial" w:hint="default"/>
      </w:rPr>
    </w:lvl>
    <w:lvl w:ilvl="3" w:tplc="10C251EA" w:tentative="1">
      <w:start w:val="1"/>
      <w:numFmt w:val="bullet"/>
      <w:lvlText w:val="•"/>
      <w:lvlJc w:val="left"/>
      <w:pPr>
        <w:tabs>
          <w:tab w:val="num" w:pos="2520"/>
        </w:tabs>
        <w:ind w:left="2520" w:hanging="360"/>
      </w:pPr>
      <w:rPr>
        <w:rFonts w:ascii="Arial" w:hAnsi="Arial" w:hint="default"/>
      </w:rPr>
    </w:lvl>
    <w:lvl w:ilvl="4" w:tplc="D7F089AA" w:tentative="1">
      <w:start w:val="1"/>
      <w:numFmt w:val="bullet"/>
      <w:lvlText w:val="•"/>
      <w:lvlJc w:val="left"/>
      <w:pPr>
        <w:tabs>
          <w:tab w:val="num" w:pos="3240"/>
        </w:tabs>
        <w:ind w:left="3240" w:hanging="360"/>
      </w:pPr>
      <w:rPr>
        <w:rFonts w:ascii="Arial" w:hAnsi="Arial" w:hint="default"/>
      </w:rPr>
    </w:lvl>
    <w:lvl w:ilvl="5" w:tplc="BFDAC490" w:tentative="1">
      <w:start w:val="1"/>
      <w:numFmt w:val="bullet"/>
      <w:lvlText w:val="•"/>
      <w:lvlJc w:val="left"/>
      <w:pPr>
        <w:tabs>
          <w:tab w:val="num" w:pos="3960"/>
        </w:tabs>
        <w:ind w:left="3960" w:hanging="360"/>
      </w:pPr>
      <w:rPr>
        <w:rFonts w:ascii="Arial" w:hAnsi="Arial" w:hint="default"/>
      </w:rPr>
    </w:lvl>
    <w:lvl w:ilvl="6" w:tplc="43568712" w:tentative="1">
      <w:start w:val="1"/>
      <w:numFmt w:val="bullet"/>
      <w:lvlText w:val="•"/>
      <w:lvlJc w:val="left"/>
      <w:pPr>
        <w:tabs>
          <w:tab w:val="num" w:pos="4680"/>
        </w:tabs>
        <w:ind w:left="4680" w:hanging="360"/>
      </w:pPr>
      <w:rPr>
        <w:rFonts w:ascii="Arial" w:hAnsi="Arial" w:hint="default"/>
      </w:rPr>
    </w:lvl>
    <w:lvl w:ilvl="7" w:tplc="49A00C28" w:tentative="1">
      <w:start w:val="1"/>
      <w:numFmt w:val="bullet"/>
      <w:lvlText w:val="•"/>
      <w:lvlJc w:val="left"/>
      <w:pPr>
        <w:tabs>
          <w:tab w:val="num" w:pos="5400"/>
        </w:tabs>
        <w:ind w:left="5400" w:hanging="360"/>
      </w:pPr>
      <w:rPr>
        <w:rFonts w:ascii="Arial" w:hAnsi="Arial" w:hint="default"/>
      </w:rPr>
    </w:lvl>
    <w:lvl w:ilvl="8" w:tplc="D20EEED0"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19077E0"/>
    <w:multiLevelType w:val="hybridMultilevel"/>
    <w:tmpl w:val="9AE4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53483"/>
    <w:multiLevelType w:val="hybridMultilevel"/>
    <w:tmpl w:val="7EC6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028AC"/>
    <w:multiLevelType w:val="hybridMultilevel"/>
    <w:tmpl w:val="9B4666EC"/>
    <w:lvl w:ilvl="0" w:tplc="D45681FE">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1C977B51"/>
    <w:multiLevelType w:val="hybridMultilevel"/>
    <w:tmpl w:val="E5D2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C06984"/>
    <w:multiLevelType w:val="hybridMultilevel"/>
    <w:tmpl w:val="56CC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14023F"/>
    <w:multiLevelType w:val="multilevel"/>
    <w:tmpl w:val="EE04D198"/>
    <w:lvl w:ilvl="0">
      <w:start w:val="1"/>
      <w:numFmt w:val="bullet"/>
      <w:lvlText w:val=""/>
      <w:lvlJc w:val="left"/>
      <w:pPr>
        <w:tabs>
          <w:tab w:val="num" w:pos="3240"/>
        </w:tabs>
        <w:ind w:left="3240" w:hanging="360"/>
      </w:pPr>
      <w:rPr>
        <w:rFonts w:ascii="Symbol" w:hAnsi="Symbol" w:hint="default"/>
        <w:sz w:val="20"/>
      </w:rPr>
    </w:lvl>
    <w:lvl w:ilvl="1">
      <w:start w:val="1"/>
      <w:numFmt w:val="decimal"/>
      <w:lvlText w:val="%2."/>
      <w:lvlJc w:val="left"/>
      <w:pPr>
        <w:ind w:left="3960" w:hanging="360"/>
      </w:pPr>
      <w:rPr>
        <w:rFonts w:hint="default"/>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6" w15:restartNumberingAfterBreak="0">
    <w:nsid w:val="2650172F"/>
    <w:multiLevelType w:val="hybridMultilevel"/>
    <w:tmpl w:val="BD8E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A77F0"/>
    <w:multiLevelType w:val="hybridMultilevel"/>
    <w:tmpl w:val="FE4E93E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2AC50A3A"/>
    <w:multiLevelType w:val="hybridMultilevel"/>
    <w:tmpl w:val="A03E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102F29"/>
    <w:multiLevelType w:val="hybridMultilevel"/>
    <w:tmpl w:val="C7AA6BD8"/>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15:restartNumberingAfterBreak="0">
    <w:nsid w:val="2FA50322"/>
    <w:multiLevelType w:val="hybridMultilevel"/>
    <w:tmpl w:val="ABF0992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30350E1A"/>
    <w:multiLevelType w:val="hybridMultilevel"/>
    <w:tmpl w:val="62E4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275DB6"/>
    <w:multiLevelType w:val="hybridMultilevel"/>
    <w:tmpl w:val="C2CA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82C16"/>
    <w:multiLevelType w:val="hybridMultilevel"/>
    <w:tmpl w:val="CE90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E21992"/>
    <w:multiLevelType w:val="hybridMultilevel"/>
    <w:tmpl w:val="EA36A0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39DA1A36"/>
    <w:multiLevelType w:val="hybridMultilevel"/>
    <w:tmpl w:val="228CBD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E647B0"/>
    <w:multiLevelType w:val="hybridMultilevel"/>
    <w:tmpl w:val="EF2E54C8"/>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7" w15:restartNumberingAfterBreak="0">
    <w:nsid w:val="3AE93DDD"/>
    <w:multiLevelType w:val="hybridMultilevel"/>
    <w:tmpl w:val="86C6DFFA"/>
    <w:lvl w:ilvl="0" w:tplc="F51AB0FE">
      <w:start w:val="50"/>
      <w:numFmt w:val="bullet"/>
      <w:lvlText w:val=""/>
      <w:lvlJc w:val="left"/>
      <w:pPr>
        <w:ind w:left="3330" w:hanging="360"/>
      </w:pPr>
      <w:rPr>
        <w:rFonts w:ascii="Symbol" w:eastAsiaTheme="minorHAnsi" w:hAnsi="Symbol" w:cstheme="minorBidi" w:hint="default"/>
      </w:rPr>
    </w:lvl>
    <w:lvl w:ilvl="1" w:tplc="04090003">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28" w15:restartNumberingAfterBreak="0">
    <w:nsid w:val="3BEF7D10"/>
    <w:multiLevelType w:val="hybridMultilevel"/>
    <w:tmpl w:val="130C1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0242ED"/>
    <w:multiLevelType w:val="hybridMultilevel"/>
    <w:tmpl w:val="866C6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D0774CA"/>
    <w:multiLevelType w:val="hybridMultilevel"/>
    <w:tmpl w:val="6A689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B9236D"/>
    <w:multiLevelType w:val="hybridMultilevel"/>
    <w:tmpl w:val="8F427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E837A37"/>
    <w:multiLevelType w:val="hybridMultilevel"/>
    <w:tmpl w:val="255A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4A5DCC"/>
    <w:multiLevelType w:val="hybridMultilevel"/>
    <w:tmpl w:val="2ED6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712020"/>
    <w:multiLevelType w:val="hybridMultilevel"/>
    <w:tmpl w:val="72A6D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DF78F9"/>
    <w:multiLevelType w:val="hybridMultilevel"/>
    <w:tmpl w:val="DD72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9C6C24"/>
    <w:multiLevelType w:val="hybridMultilevel"/>
    <w:tmpl w:val="38FE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BD7F01"/>
    <w:multiLevelType w:val="hybridMultilevel"/>
    <w:tmpl w:val="1D3276CE"/>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8" w15:restartNumberingAfterBreak="0">
    <w:nsid w:val="4EE912C7"/>
    <w:multiLevelType w:val="hybridMultilevel"/>
    <w:tmpl w:val="042EAB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4F24652F"/>
    <w:multiLevelType w:val="hybridMultilevel"/>
    <w:tmpl w:val="5894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F31181"/>
    <w:multiLevelType w:val="hybridMultilevel"/>
    <w:tmpl w:val="C48E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0826F2"/>
    <w:multiLevelType w:val="hybridMultilevel"/>
    <w:tmpl w:val="BAC2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8A0A74"/>
    <w:multiLevelType w:val="hybridMultilevel"/>
    <w:tmpl w:val="08FA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3B3051"/>
    <w:multiLevelType w:val="hybridMultilevel"/>
    <w:tmpl w:val="AE52F302"/>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44" w15:restartNumberingAfterBreak="0">
    <w:nsid w:val="55154164"/>
    <w:multiLevelType w:val="hybridMultilevel"/>
    <w:tmpl w:val="593C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283E24"/>
    <w:multiLevelType w:val="hybridMultilevel"/>
    <w:tmpl w:val="79762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9E6067"/>
    <w:multiLevelType w:val="hybridMultilevel"/>
    <w:tmpl w:val="486CD9E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7" w15:restartNumberingAfterBreak="0">
    <w:nsid w:val="58B01D08"/>
    <w:multiLevelType w:val="hybridMultilevel"/>
    <w:tmpl w:val="07DE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CC1A4A"/>
    <w:multiLevelType w:val="hybridMultilevel"/>
    <w:tmpl w:val="67466D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04B69CB"/>
    <w:multiLevelType w:val="hybridMultilevel"/>
    <w:tmpl w:val="D54A1D1C"/>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0" w15:restartNumberingAfterBreak="0">
    <w:nsid w:val="60706AD7"/>
    <w:multiLevelType w:val="hybridMultilevel"/>
    <w:tmpl w:val="08B21984"/>
    <w:lvl w:ilvl="0" w:tplc="D45681FE">
      <w:start w:val="1"/>
      <w:numFmt w:val="bullet"/>
      <w:lvlText w:val=""/>
      <w:lvlJc w:val="left"/>
      <w:pPr>
        <w:tabs>
          <w:tab w:val="num" w:pos="3240"/>
        </w:tabs>
        <w:ind w:left="3240" w:hanging="360"/>
      </w:pPr>
      <w:rPr>
        <w:rFonts w:ascii="Symbol" w:hAnsi="Symbol" w:hint="default"/>
      </w:rPr>
    </w:lvl>
    <w:lvl w:ilvl="1" w:tplc="04090001">
      <w:start w:val="1"/>
      <w:numFmt w:val="bullet"/>
      <w:lvlText w:val=""/>
      <w:lvlJc w:val="left"/>
      <w:pPr>
        <w:tabs>
          <w:tab w:val="num" w:pos="3960"/>
        </w:tabs>
        <w:ind w:left="3960" w:hanging="360"/>
      </w:pPr>
      <w:rPr>
        <w:rFonts w:ascii="Symbol" w:hAnsi="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1" w15:restartNumberingAfterBreak="0">
    <w:nsid w:val="63870573"/>
    <w:multiLevelType w:val="hybridMultilevel"/>
    <w:tmpl w:val="F8B4D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ED456C"/>
    <w:multiLevelType w:val="hybridMultilevel"/>
    <w:tmpl w:val="1C6A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E72FCF"/>
    <w:multiLevelType w:val="hybridMultilevel"/>
    <w:tmpl w:val="9D2E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610ECB"/>
    <w:multiLevelType w:val="hybridMultilevel"/>
    <w:tmpl w:val="70A03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812693"/>
    <w:multiLevelType w:val="hybridMultilevel"/>
    <w:tmpl w:val="ED9285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15:restartNumberingAfterBreak="0">
    <w:nsid w:val="669F2980"/>
    <w:multiLevelType w:val="multilevel"/>
    <w:tmpl w:val="ACA0241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57" w15:restartNumberingAfterBreak="0">
    <w:nsid w:val="66C02AB4"/>
    <w:multiLevelType w:val="hybridMultilevel"/>
    <w:tmpl w:val="C9DA38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8" w15:restartNumberingAfterBreak="0">
    <w:nsid w:val="674E752B"/>
    <w:multiLevelType w:val="hybridMultilevel"/>
    <w:tmpl w:val="8B7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91D5A8D"/>
    <w:multiLevelType w:val="hybridMultilevel"/>
    <w:tmpl w:val="343A05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0" w15:restartNumberingAfterBreak="0">
    <w:nsid w:val="69373145"/>
    <w:multiLevelType w:val="hybridMultilevel"/>
    <w:tmpl w:val="E49A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4A0771"/>
    <w:multiLevelType w:val="hybridMultilevel"/>
    <w:tmpl w:val="DD7E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6C1806"/>
    <w:multiLevelType w:val="hybridMultilevel"/>
    <w:tmpl w:val="AA1EB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6D005E32"/>
    <w:multiLevelType w:val="hybridMultilevel"/>
    <w:tmpl w:val="9D60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4C1E41"/>
    <w:multiLevelType w:val="hybridMultilevel"/>
    <w:tmpl w:val="753E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ED5301E"/>
    <w:multiLevelType w:val="hybridMultilevel"/>
    <w:tmpl w:val="45A2BDD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6" w15:restartNumberingAfterBreak="0">
    <w:nsid w:val="6FF56BDF"/>
    <w:multiLevelType w:val="hybridMultilevel"/>
    <w:tmpl w:val="3188AE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120D2A"/>
    <w:multiLevelType w:val="hybridMultilevel"/>
    <w:tmpl w:val="EDA2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1F9387E"/>
    <w:multiLevelType w:val="hybridMultilevel"/>
    <w:tmpl w:val="B80E89EE"/>
    <w:lvl w:ilvl="0" w:tplc="85BE66B6">
      <w:start w:val="1"/>
      <w:numFmt w:val="decimal"/>
      <w:lvlText w:val="%1."/>
      <w:lvlJc w:val="left"/>
      <w:pPr>
        <w:ind w:left="720" w:hanging="360"/>
      </w:pPr>
      <w:rPr>
        <w:rFonts w:asciiTheme="minorHAnsi" w:hAnsi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642BBD"/>
    <w:multiLevelType w:val="hybridMultilevel"/>
    <w:tmpl w:val="377A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B77DBF"/>
    <w:multiLevelType w:val="hybridMultilevel"/>
    <w:tmpl w:val="A97697E0"/>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71" w15:restartNumberingAfterBreak="0">
    <w:nsid w:val="74C62680"/>
    <w:multiLevelType w:val="hybridMultilevel"/>
    <w:tmpl w:val="49E8C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481ED9"/>
    <w:multiLevelType w:val="hybridMultilevel"/>
    <w:tmpl w:val="1EAAA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60F7E44"/>
    <w:multiLevelType w:val="hybridMultilevel"/>
    <w:tmpl w:val="8DC6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67B1960"/>
    <w:multiLevelType w:val="hybridMultilevel"/>
    <w:tmpl w:val="0C9C1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6975841"/>
    <w:multiLevelType w:val="hybridMultilevel"/>
    <w:tmpl w:val="0F74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8047178"/>
    <w:multiLevelType w:val="hybridMultilevel"/>
    <w:tmpl w:val="9E44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493D44"/>
    <w:multiLevelType w:val="hybridMultilevel"/>
    <w:tmpl w:val="3E56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C310DA"/>
    <w:multiLevelType w:val="hybridMultilevel"/>
    <w:tmpl w:val="6B6E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630D14"/>
    <w:multiLevelType w:val="hybridMultilevel"/>
    <w:tmpl w:val="CB2E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281F20"/>
    <w:multiLevelType w:val="hybridMultilevel"/>
    <w:tmpl w:val="467E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E914D02"/>
    <w:multiLevelType w:val="hybridMultilevel"/>
    <w:tmpl w:val="2C54DFF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2" w15:restartNumberingAfterBreak="0">
    <w:nsid w:val="7F3E3C06"/>
    <w:multiLevelType w:val="hybridMultilevel"/>
    <w:tmpl w:val="EA24F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74"/>
  </w:num>
  <w:num w:numId="4">
    <w:abstractNumId w:val="64"/>
  </w:num>
  <w:num w:numId="5">
    <w:abstractNumId w:val="63"/>
  </w:num>
  <w:num w:numId="6">
    <w:abstractNumId w:val="55"/>
  </w:num>
  <w:num w:numId="7">
    <w:abstractNumId w:val="44"/>
  </w:num>
  <w:num w:numId="8">
    <w:abstractNumId w:val="6"/>
  </w:num>
  <w:num w:numId="9">
    <w:abstractNumId w:val="2"/>
  </w:num>
  <w:num w:numId="10">
    <w:abstractNumId w:val="23"/>
  </w:num>
  <w:num w:numId="11">
    <w:abstractNumId w:val="70"/>
  </w:num>
  <w:num w:numId="12">
    <w:abstractNumId w:val="10"/>
  </w:num>
  <w:num w:numId="13">
    <w:abstractNumId w:val="61"/>
  </w:num>
  <w:num w:numId="14">
    <w:abstractNumId w:val="67"/>
  </w:num>
  <w:num w:numId="15">
    <w:abstractNumId w:val="47"/>
  </w:num>
  <w:num w:numId="16">
    <w:abstractNumId w:val="80"/>
  </w:num>
  <w:num w:numId="17">
    <w:abstractNumId w:val="75"/>
  </w:num>
  <w:num w:numId="18">
    <w:abstractNumId w:val="19"/>
  </w:num>
  <w:num w:numId="19">
    <w:abstractNumId w:val="16"/>
  </w:num>
  <w:num w:numId="20">
    <w:abstractNumId w:val="39"/>
  </w:num>
  <w:num w:numId="21">
    <w:abstractNumId w:val="5"/>
  </w:num>
  <w:num w:numId="22">
    <w:abstractNumId w:val="15"/>
  </w:num>
  <w:num w:numId="23">
    <w:abstractNumId w:val="56"/>
  </w:num>
  <w:num w:numId="24">
    <w:abstractNumId w:val="33"/>
  </w:num>
  <w:num w:numId="25">
    <w:abstractNumId w:val="50"/>
  </w:num>
  <w:num w:numId="26">
    <w:abstractNumId w:val="57"/>
  </w:num>
  <w:num w:numId="27">
    <w:abstractNumId w:val="24"/>
  </w:num>
  <w:num w:numId="28">
    <w:abstractNumId w:val="30"/>
  </w:num>
  <w:num w:numId="29">
    <w:abstractNumId w:val="20"/>
  </w:num>
  <w:num w:numId="30">
    <w:abstractNumId w:val="59"/>
  </w:num>
  <w:num w:numId="31">
    <w:abstractNumId w:val="46"/>
  </w:num>
  <w:num w:numId="32">
    <w:abstractNumId w:val="27"/>
  </w:num>
  <w:num w:numId="33">
    <w:abstractNumId w:val="40"/>
  </w:num>
  <w:num w:numId="34">
    <w:abstractNumId w:val="81"/>
  </w:num>
  <w:num w:numId="35">
    <w:abstractNumId w:val="77"/>
  </w:num>
  <w:num w:numId="36">
    <w:abstractNumId w:val="38"/>
  </w:num>
  <w:num w:numId="37">
    <w:abstractNumId w:val="18"/>
  </w:num>
  <w:num w:numId="38">
    <w:abstractNumId w:val="4"/>
  </w:num>
  <w:num w:numId="39">
    <w:abstractNumId w:val="12"/>
  </w:num>
  <w:num w:numId="40">
    <w:abstractNumId w:val="65"/>
  </w:num>
  <w:num w:numId="41">
    <w:abstractNumId w:val="13"/>
  </w:num>
  <w:num w:numId="42">
    <w:abstractNumId w:val="28"/>
  </w:num>
  <w:num w:numId="43">
    <w:abstractNumId w:val="32"/>
  </w:num>
  <w:num w:numId="44">
    <w:abstractNumId w:val="9"/>
  </w:num>
  <w:num w:numId="45">
    <w:abstractNumId w:val="73"/>
  </w:num>
  <w:num w:numId="46">
    <w:abstractNumId w:val="45"/>
  </w:num>
  <w:num w:numId="47">
    <w:abstractNumId w:val="68"/>
  </w:num>
  <w:num w:numId="48">
    <w:abstractNumId w:val="66"/>
  </w:num>
  <w:num w:numId="49">
    <w:abstractNumId w:val="11"/>
  </w:num>
  <w:num w:numId="50">
    <w:abstractNumId w:val="76"/>
  </w:num>
  <w:num w:numId="51">
    <w:abstractNumId w:val="39"/>
  </w:num>
  <w:num w:numId="52">
    <w:abstractNumId w:val="82"/>
  </w:num>
  <w:num w:numId="53">
    <w:abstractNumId w:val="62"/>
  </w:num>
  <w:num w:numId="54">
    <w:abstractNumId w:val="72"/>
  </w:num>
  <w:num w:numId="55">
    <w:abstractNumId w:val="31"/>
  </w:num>
  <w:num w:numId="56">
    <w:abstractNumId w:val="29"/>
  </w:num>
  <w:num w:numId="57">
    <w:abstractNumId w:val="1"/>
  </w:num>
  <w:num w:numId="58">
    <w:abstractNumId w:val="22"/>
  </w:num>
  <w:num w:numId="59">
    <w:abstractNumId w:val="3"/>
  </w:num>
  <w:num w:numId="60">
    <w:abstractNumId w:val="41"/>
  </w:num>
  <w:num w:numId="61">
    <w:abstractNumId w:val="78"/>
  </w:num>
  <w:num w:numId="62">
    <w:abstractNumId w:val="58"/>
  </w:num>
  <w:num w:numId="63">
    <w:abstractNumId w:val="50"/>
  </w:num>
  <w:num w:numId="64">
    <w:abstractNumId w:val="49"/>
  </w:num>
  <w:num w:numId="65">
    <w:abstractNumId w:val="37"/>
  </w:num>
  <w:num w:numId="66">
    <w:abstractNumId w:val="26"/>
  </w:num>
  <w:num w:numId="67">
    <w:abstractNumId w:val="14"/>
  </w:num>
  <w:num w:numId="68">
    <w:abstractNumId w:val="42"/>
  </w:num>
  <w:num w:numId="69">
    <w:abstractNumId w:val="53"/>
  </w:num>
  <w:num w:numId="70">
    <w:abstractNumId w:val="21"/>
  </w:num>
  <w:num w:numId="71">
    <w:abstractNumId w:val="60"/>
  </w:num>
  <w:num w:numId="72">
    <w:abstractNumId w:val="43"/>
  </w:num>
  <w:num w:numId="73">
    <w:abstractNumId w:val="79"/>
  </w:num>
  <w:num w:numId="74">
    <w:abstractNumId w:val="25"/>
  </w:num>
  <w:num w:numId="75">
    <w:abstractNumId w:val="54"/>
  </w:num>
  <w:num w:numId="76">
    <w:abstractNumId w:val="69"/>
  </w:num>
  <w:num w:numId="77">
    <w:abstractNumId w:val="35"/>
  </w:num>
  <w:num w:numId="78">
    <w:abstractNumId w:val="52"/>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num>
  <w:num w:numId="81">
    <w:abstractNumId w:val="7"/>
  </w:num>
  <w:num w:numId="82">
    <w:abstractNumId w:val="36"/>
  </w:num>
  <w:num w:numId="83">
    <w:abstractNumId w:val="71"/>
  </w:num>
  <w:num w:numId="84">
    <w:abstractNumId w:val="51"/>
  </w:num>
  <w:num w:numId="85">
    <w:abstractNumId w:val="34"/>
  </w:num>
  <w:num w:numId="86">
    <w:abstractNumId w:val="48"/>
  </w:num>
  <w:num w:numId="87">
    <w:abstractNumId w:val="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70"/>
    <w:rsid w:val="00000284"/>
    <w:rsid w:val="000016AE"/>
    <w:rsid w:val="00002B91"/>
    <w:rsid w:val="00002D2F"/>
    <w:rsid w:val="0000357D"/>
    <w:rsid w:val="00012DA1"/>
    <w:rsid w:val="00021A48"/>
    <w:rsid w:val="00021BA1"/>
    <w:rsid w:val="00026A1B"/>
    <w:rsid w:val="00027213"/>
    <w:rsid w:val="00027B33"/>
    <w:rsid w:val="00034B2B"/>
    <w:rsid w:val="00041996"/>
    <w:rsid w:val="0004258E"/>
    <w:rsid w:val="000433B7"/>
    <w:rsid w:val="00051900"/>
    <w:rsid w:val="000521F7"/>
    <w:rsid w:val="00061C39"/>
    <w:rsid w:val="00070213"/>
    <w:rsid w:val="00072399"/>
    <w:rsid w:val="00072419"/>
    <w:rsid w:val="000739CD"/>
    <w:rsid w:val="00076444"/>
    <w:rsid w:val="000774DA"/>
    <w:rsid w:val="00077F51"/>
    <w:rsid w:val="00095503"/>
    <w:rsid w:val="000A5E68"/>
    <w:rsid w:val="000A7484"/>
    <w:rsid w:val="000B1FEC"/>
    <w:rsid w:val="000B269A"/>
    <w:rsid w:val="000B3239"/>
    <w:rsid w:val="000B7F9B"/>
    <w:rsid w:val="000C0176"/>
    <w:rsid w:val="000C582C"/>
    <w:rsid w:val="000C6463"/>
    <w:rsid w:val="000C7892"/>
    <w:rsid w:val="000D2A39"/>
    <w:rsid w:val="000D35B0"/>
    <w:rsid w:val="000D5E73"/>
    <w:rsid w:val="000E168D"/>
    <w:rsid w:val="000E1841"/>
    <w:rsid w:val="000E1A34"/>
    <w:rsid w:val="000F0B7F"/>
    <w:rsid w:val="000F49CB"/>
    <w:rsid w:val="000F58AB"/>
    <w:rsid w:val="00101BC8"/>
    <w:rsid w:val="00105C80"/>
    <w:rsid w:val="001075F0"/>
    <w:rsid w:val="00112F3E"/>
    <w:rsid w:val="00116036"/>
    <w:rsid w:val="0012044D"/>
    <w:rsid w:val="0012455A"/>
    <w:rsid w:val="00136596"/>
    <w:rsid w:val="00144337"/>
    <w:rsid w:val="00152374"/>
    <w:rsid w:val="00164E45"/>
    <w:rsid w:val="00164EEA"/>
    <w:rsid w:val="0016706F"/>
    <w:rsid w:val="00175B7B"/>
    <w:rsid w:val="0018612F"/>
    <w:rsid w:val="00187031"/>
    <w:rsid w:val="00190FC4"/>
    <w:rsid w:val="00193715"/>
    <w:rsid w:val="00197F19"/>
    <w:rsid w:val="001A01A6"/>
    <w:rsid w:val="001A2ECA"/>
    <w:rsid w:val="001A57BA"/>
    <w:rsid w:val="001B307F"/>
    <w:rsid w:val="001B4EC8"/>
    <w:rsid w:val="001B6E2A"/>
    <w:rsid w:val="001B720E"/>
    <w:rsid w:val="001C3D7F"/>
    <w:rsid w:val="001C47DB"/>
    <w:rsid w:val="001D1F7E"/>
    <w:rsid w:val="001E6D65"/>
    <w:rsid w:val="001E6F56"/>
    <w:rsid w:val="001F0898"/>
    <w:rsid w:val="001F0B3B"/>
    <w:rsid w:val="00204074"/>
    <w:rsid w:val="002050F5"/>
    <w:rsid w:val="00206B86"/>
    <w:rsid w:val="00206B9A"/>
    <w:rsid w:val="00207CFF"/>
    <w:rsid w:val="002130B9"/>
    <w:rsid w:val="00223109"/>
    <w:rsid w:val="002238E5"/>
    <w:rsid w:val="0022645A"/>
    <w:rsid w:val="0023746E"/>
    <w:rsid w:val="00240EEF"/>
    <w:rsid w:val="002415B0"/>
    <w:rsid w:val="002535F2"/>
    <w:rsid w:val="00260998"/>
    <w:rsid w:val="00263EE0"/>
    <w:rsid w:val="00267BB2"/>
    <w:rsid w:val="002700A6"/>
    <w:rsid w:val="00270CC2"/>
    <w:rsid w:val="00274B79"/>
    <w:rsid w:val="00286474"/>
    <w:rsid w:val="002866B5"/>
    <w:rsid w:val="00287460"/>
    <w:rsid w:val="00291A58"/>
    <w:rsid w:val="002A17E5"/>
    <w:rsid w:val="002C0628"/>
    <w:rsid w:val="002C0C6F"/>
    <w:rsid w:val="002C0DA4"/>
    <w:rsid w:val="002C6D41"/>
    <w:rsid w:val="002D016F"/>
    <w:rsid w:val="002D0867"/>
    <w:rsid w:val="002D1DA1"/>
    <w:rsid w:val="002D4904"/>
    <w:rsid w:val="002D76F4"/>
    <w:rsid w:val="002F2D35"/>
    <w:rsid w:val="003074B2"/>
    <w:rsid w:val="00311FEF"/>
    <w:rsid w:val="003225C7"/>
    <w:rsid w:val="00325FDB"/>
    <w:rsid w:val="00331081"/>
    <w:rsid w:val="003419A2"/>
    <w:rsid w:val="00351630"/>
    <w:rsid w:val="003531F4"/>
    <w:rsid w:val="00353CE2"/>
    <w:rsid w:val="00354BE0"/>
    <w:rsid w:val="003550B4"/>
    <w:rsid w:val="003565FB"/>
    <w:rsid w:val="00356612"/>
    <w:rsid w:val="00357277"/>
    <w:rsid w:val="003603FD"/>
    <w:rsid w:val="00361469"/>
    <w:rsid w:val="00374E29"/>
    <w:rsid w:val="00377327"/>
    <w:rsid w:val="00384284"/>
    <w:rsid w:val="00387707"/>
    <w:rsid w:val="00394708"/>
    <w:rsid w:val="0039560B"/>
    <w:rsid w:val="0039754B"/>
    <w:rsid w:val="00397844"/>
    <w:rsid w:val="003A3FDF"/>
    <w:rsid w:val="003A79ED"/>
    <w:rsid w:val="003B20F5"/>
    <w:rsid w:val="003C0B01"/>
    <w:rsid w:val="003C10EB"/>
    <w:rsid w:val="003C2B48"/>
    <w:rsid w:val="003C2CCE"/>
    <w:rsid w:val="003C6547"/>
    <w:rsid w:val="003E3B28"/>
    <w:rsid w:val="003F156E"/>
    <w:rsid w:val="003F6BEF"/>
    <w:rsid w:val="00401476"/>
    <w:rsid w:val="00401D1B"/>
    <w:rsid w:val="004050FF"/>
    <w:rsid w:val="004055C5"/>
    <w:rsid w:val="004164F8"/>
    <w:rsid w:val="00425500"/>
    <w:rsid w:val="00426931"/>
    <w:rsid w:val="004342FD"/>
    <w:rsid w:val="00434B20"/>
    <w:rsid w:val="004354CF"/>
    <w:rsid w:val="0044039D"/>
    <w:rsid w:val="00441096"/>
    <w:rsid w:val="0044175D"/>
    <w:rsid w:val="00446DFC"/>
    <w:rsid w:val="00465778"/>
    <w:rsid w:val="00471F7C"/>
    <w:rsid w:val="00476623"/>
    <w:rsid w:val="00477402"/>
    <w:rsid w:val="004813C0"/>
    <w:rsid w:val="00483D9D"/>
    <w:rsid w:val="0048518A"/>
    <w:rsid w:val="00485775"/>
    <w:rsid w:val="004A71A6"/>
    <w:rsid w:val="004C1FED"/>
    <w:rsid w:val="004C21F0"/>
    <w:rsid w:val="004C694A"/>
    <w:rsid w:val="004C6FE0"/>
    <w:rsid w:val="004D0999"/>
    <w:rsid w:val="004D6D90"/>
    <w:rsid w:val="004E15A9"/>
    <w:rsid w:val="004E1EF1"/>
    <w:rsid w:val="004E6105"/>
    <w:rsid w:val="004E7921"/>
    <w:rsid w:val="004F1CDA"/>
    <w:rsid w:val="004F465E"/>
    <w:rsid w:val="004F64D8"/>
    <w:rsid w:val="005030A9"/>
    <w:rsid w:val="00503654"/>
    <w:rsid w:val="005036E4"/>
    <w:rsid w:val="005064D1"/>
    <w:rsid w:val="00512B4D"/>
    <w:rsid w:val="005143FB"/>
    <w:rsid w:val="0052243E"/>
    <w:rsid w:val="00523E68"/>
    <w:rsid w:val="0052410A"/>
    <w:rsid w:val="005251AC"/>
    <w:rsid w:val="00525911"/>
    <w:rsid w:val="00525D61"/>
    <w:rsid w:val="0053096E"/>
    <w:rsid w:val="00531F3F"/>
    <w:rsid w:val="00534ED4"/>
    <w:rsid w:val="00542609"/>
    <w:rsid w:val="00544516"/>
    <w:rsid w:val="005521B9"/>
    <w:rsid w:val="005531CF"/>
    <w:rsid w:val="00562D79"/>
    <w:rsid w:val="00563BFF"/>
    <w:rsid w:val="00571B74"/>
    <w:rsid w:val="00573436"/>
    <w:rsid w:val="0057468A"/>
    <w:rsid w:val="00580467"/>
    <w:rsid w:val="00586773"/>
    <w:rsid w:val="005932FF"/>
    <w:rsid w:val="00593756"/>
    <w:rsid w:val="005A0D31"/>
    <w:rsid w:val="005A2735"/>
    <w:rsid w:val="005B6AB8"/>
    <w:rsid w:val="005C6605"/>
    <w:rsid w:val="005D1439"/>
    <w:rsid w:val="005D2E25"/>
    <w:rsid w:val="005D4CF7"/>
    <w:rsid w:val="005E0B67"/>
    <w:rsid w:val="005E1E15"/>
    <w:rsid w:val="005E7C07"/>
    <w:rsid w:val="005F43B0"/>
    <w:rsid w:val="005F448C"/>
    <w:rsid w:val="005F5584"/>
    <w:rsid w:val="005F7921"/>
    <w:rsid w:val="006034FE"/>
    <w:rsid w:val="00606A33"/>
    <w:rsid w:val="00613D40"/>
    <w:rsid w:val="006152D8"/>
    <w:rsid w:val="00616E45"/>
    <w:rsid w:val="00620448"/>
    <w:rsid w:val="006232DE"/>
    <w:rsid w:val="00624A02"/>
    <w:rsid w:val="0063395F"/>
    <w:rsid w:val="00636AC6"/>
    <w:rsid w:val="0063752F"/>
    <w:rsid w:val="0064082F"/>
    <w:rsid w:val="006414FD"/>
    <w:rsid w:val="00656A00"/>
    <w:rsid w:val="006619C4"/>
    <w:rsid w:val="00666667"/>
    <w:rsid w:val="006823F4"/>
    <w:rsid w:val="00684C64"/>
    <w:rsid w:val="00685108"/>
    <w:rsid w:val="0068676B"/>
    <w:rsid w:val="00686BCC"/>
    <w:rsid w:val="006904CC"/>
    <w:rsid w:val="006C00CF"/>
    <w:rsid w:val="006E1482"/>
    <w:rsid w:val="006E28A1"/>
    <w:rsid w:val="006E374F"/>
    <w:rsid w:val="006E5D88"/>
    <w:rsid w:val="006F16AF"/>
    <w:rsid w:val="006F1749"/>
    <w:rsid w:val="006F2C89"/>
    <w:rsid w:val="006F3587"/>
    <w:rsid w:val="006F513A"/>
    <w:rsid w:val="006F6A65"/>
    <w:rsid w:val="00700CD8"/>
    <w:rsid w:val="00704C11"/>
    <w:rsid w:val="00706884"/>
    <w:rsid w:val="00710E18"/>
    <w:rsid w:val="00710F1B"/>
    <w:rsid w:val="00723004"/>
    <w:rsid w:val="00724C7F"/>
    <w:rsid w:val="00727968"/>
    <w:rsid w:val="00727C08"/>
    <w:rsid w:val="00736B4B"/>
    <w:rsid w:val="00747581"/>
    <w:rsid w:val="00767449"/>
    <w:rsid w:val="00772018"/>
    <w:rsid w:val="007739BB"/>
    <w:rsid w:val="0078219D"/>
    <w:rsid w:val="0078281F"/>
    <w:rsid w:val="00783BCE"/>
    <w:rsid w:val="00783BFF"/>
    <w:rsid w:val="0078788B"/>
    <w:rsid w:val="00787F62"/>
    <w:rsid w:val="00792CD8"/>
    <w:rsid w:val="007A2A6A"/>
    <w:rsid w:val="007A3CB9"/>
    <w:rsid w:val="007B0E48"/>
    <w:rsid w:val="007B155D"/>
    <w:rsid w:val="007B4A1A"/>
    <w:rsid w:val="007B5B89"/>
    <w:rsid w:val="007D008A"/>
    <w:rsid w:val="007D00AA"/>
    <w:rsid w:val="007D1EBD"/>
    <w:rsid w:val="007D6D7B"/>
    <w:rsid w:val="007E2859"/>
    <w:rsid w:val="007E2BB1"/>
    <w:rsid w:val="007E639B"/>
    <w:rsid w:val="007F09F9"/>
    <w:rsid w:val="007F124E"/>
    <w:rsid w:val="007F4B3F"/>
    <w:rsid w:val="007F7440"/>
    <w:rsid w:val="007F7F5F"/>
    <w:rsid w:val="00800630"/>
    <w:rsid w:val="0080466B"/>
    <w:rsid w:val="008134A0"/>
    <w:rsid w:val="008145DA"/>
    <w:rsid w:val="00815CA8"/>
    <w:rsid w:val="00820FE7"/>
    <w:rsid w:val="008212A0"/>
    <w:rsid w:val="00827A50"/>
    <w:rsid w:val="008344A2"/>
    <w:rsid w:val="0086395E"/>
    <w:rsid w:val="00866DF5"/>
    <w:rsid w:val="008700AF"/>
    <w:rsid w:val="00875222"/>
    <w:rsid w:val="008752AD"/>
    <w:rsid w:val="008756A6"/>
    <w:rsid w:val="00882CBF"/>
    <w:rsid w:val="00883FD9"/>
    <w:rsid w:val="00884518"/>
    <w:rsid w:val="008861B2"/>
    <w:rsid w:val="008922BE"/>
    <w:rsid w:val="00892FB1"/>
    <w:rsid w:val="008A0C98"/>
    <w:rsid w:val="008A714B"/>
    <w:rsid w:val="008B008B"/>
    <w:rsid w:val="008B06AA"/>
    <w:rsid w:val="008B7066"/>
    <w:rsid w:val="008C1B93"/>
    <w:rsid w:val="008E1124"/>
    <w:rsid w:val="008F730B"/>
    <w:rsid w:val="008F7A2E"/>
    <w:rsid w:val="008F7C8F"/>
    <w:rsid w:val="00916C53"/>
    <w:rsid w:val="0092454B"/>
    <w:rsid w:val="00924740"/>
    <w:rsid w:val="00931191"/>
    <w:rsid w:val="00931458"/>
    <w:rsid w:val="0093558D"/>
    <w:rsid w:val="0093778F"/>
    <w:rsid w:val="00937D12"/>
    <w:rsid w:val="00941E5F"/>
    <w:rsid w:val="00946F74"/>
    <w:rsid w:val="00951648"/>
    <w:rsid w:val="00955B86"/>
    <w:rsid w:val="00965D1C"/>
    <w:rsid w:val="00966E51"/>
    <w:rsid w:val="00970076"/>
    <w:rsid w:val="00970B7D"/>
    <w:rsid w:val="00973DE6"/>
    <w:rsid w:val="00975192"/>
    <w:rsid w:val="0097613F"/>
    <w:rsid w:val="00976324"/>
    <w:rsid w:val="00980003"/>
    <w:rsid w:val="00993075"/>
    <w:rsid w:val="00994D5C"/>
    <w:rsid w:val="009A1EB8"/>
    <w:rsid w:val="009B3322"/>
    <w:rsid w:val="009B7878"/>
    <w:rsid w:val="009C12C0"/>
    <w:rsid w:val="009C5201"/>
    <w:rsid w:val="009C5F67"/>
    <w:rsid w:val="009D277F"/>
    <w:rsid w:val="009D54D6"/>
    <w:rsid w:val="009D7737"/>
    <w:rsid w:val="009E0B39"/>
    <w:rsid w:val="009E7131"/>
    <w:rsid w:val="00A0199F"/>
    <w:rsid w:val="00A02D57"/>
    <w:rsid w:val="00A049DF"/>
    <w:rsid w:val="00A055CE"/>
    <w:rsid w:val="00A12BA4"/>
    <w:rsid w:val="00A21041"/>
    <w:rsid w:val="00A23217"/>
    <w:rsid w:val="00A32350"/>
    <w:rsid w:val="00A32388"/>
    <w:rsid w:val="00A3256E"/>
    <w:rsid w:val="00A3494D"/>
    <w:rsid w:val="00A34A71"/>
    <w:rsid w:val="00A35F15"/>
    <w:rsid w:val="00A37D73"/>
    <w:rsid w:val="00A4404C"/>
    <w:rsid w:val="00A532AE"/>
    <w:rsid w:val="00A60C1B"/>
    <w:rsid w:val="00A613B8"/>
    <w:rsid w:val="00A70DA6"/>
    <w:rsid w:val="00A7449A"/>
    <w:rsid w:val="00A83200"/>
    <w:rsid w:val="00A85A7B"/>
    <w:rsid w:val="00A874AA"/>
    <w:rsid w:val="00A8756A"/>
    <w:rsid w:val="00A87993"/>
    <w:rsid w:val="00A900CD"/>
    <w:rsid w:val="00A932B2"/>
    <w:rsid w:val="00AA48C6"/>
    <w:rsid w:val="00AA49F8"/>
    <w:rsid w:val="00AA5821"/>
    <w:rsid w:val="00AB34B9"/>
    <w:rsid w:val="00AB4409"/>
    <w:rsid w:val="00AC32F7"/>
    <w:rsid w:val="00AC4E98"/>
    <w:rsid w:val="00AD0229"/>
    <w:rsid w:val="00AD11FE"/>
    <w:rsid w:val="00AD225E"/>
    <w:rsid w:val="00AD6133"/>
    <w:rsid w:val="00AD786B"/>
    <w:rsid w:val="00AD7CE2"/>
    <w:rsid w:val="00AE43E9"/>
    <w:rsid w:val="00AE4A07"/>
    <w:rsid w:val="00AE7E39"/>
    <w:rsid w:val="00AF1EAC"/>
    <w:rsid w:val="00B000E3"/>
    <w:rsid w:val="00B023BA"/>
    <w:rsid w:val="00B03865"/>
    <w:rsid w:val="00B05ABD"/>
    <w:rsid w:val="00B06FB6"/>
    <w:rsid w:val="00B06FBA"/>
    <w:rsid w:val="00B1182B"/>
    <w:rsid w:val="00B21C24"/>
    <w:rsid w:val="00B241D9"/>
    <w:rsid w:val="00B258C7"/>
    <w:rsid w:val="00B34CC2"/>
    <w:rsid w:val="00B44A52"/>
    <w:rsid w:val="00B45AB8"/>
    <w:rsid w:val="00B5290B"/>
    <w:rsid w:val="00B6229D"/>
    <w:rsid w:val="00B62949"/>
    <w:rsid w:val="00B7076F"/>
    <w:rsid w:val="00B73766"/>
    <w:rsid w:val="00B759DC"/>
    <w:rsid w:val="00B81D83"/>
    <w:rsid w:val="00B82BB9"/>
    <w:rsid w:val="00B841A9"/>
    <w:rsid w:val="00B854BF"/>
    <w:rsid w:val="00B87D67"/>
    <w:rsid w:val="00B93325"/>
    <w:rsid w:val="00B9482D"/>
    <w:rsid w:val="00B96058"/>
    <w:rsid w:val="00B97F0F"/>
    <w:rsid w:val="00BA1193"/>
    <w:rsid w:val="00BA24F0"/>
    <w:rsid w:val="00BB7CE1"/>
    <w:rsid w:val="00BC05B9"/>
    <w:rsid w:val="00BC0777"/>
    <w:rsid w:val="00BD444A"/>
    <w:rsid w:val="00BD7229"/>
    <w:rsid w:val="00BD730B"/>
    <w:rsid w:val="00BD7F73"/>
    <w:rsid w:val="00BE2EC1"/>
    <w:rsid w:val="00BE3A2A"/>
    <w:rsid w:val="00BF2F76"/>
    <w:rsid w:val="00C01C9B"/>
    <w:rsid w:val="00C06141"/>
    <w:rsid w:val="00C10D58"/>
    <w:rsid w:val="00C12A5C"/>
    <w:rsid w:val="00C13224"/>
    <w:rsid w:val="00C20B32"/>
    <w:rsid w:val="00C2222E"/>
    <w:rsid w:val="00C24144"/>
    <w:rsid w:val="00C25183"/>
    <w:rsid w:val="00C326CC"/>
    <w:rsid w:val="00C35382"/>
    <w:rsid w:val="00C37889"/>
    <w:rsid w:val="00C44485"/>
    <w:rsid w:val="00C51806"/>
    <w:rsid w:val="00C61854"/>
    <w:rsid w:val="00C64EFE"/>
    <w:rsid w:val="00C71831"/>
    <w:rsid w:val="00C767F9"/>
    <w:rsid w:val="00C802E5"/>
    <w:rsid w:val="00C95490"/>
    <w:rsid w:val="00C9623B"/>
    <w:rsid w:val="00C9679D"/>
    <w:rsid w:val="00CB1697"/>
    <w:rsid w:val="00CB48F1"/>
    <w:rsid w:val="00CB4DED"/>
    <w:rsid w:val="00CC04EC"/>
    <w:rsid w:val="00CC76C8"/>
    <w:rsid w:val="00CD1634"/>
    <w:rsid w:val="00CD2497"/>
    <w:rsid w:val="00CD3B80"/>
    <w:rsid w:val="00CD43E1"/>
    <w:rsid w:val="00CD6CEB"/>
    <w:rsid w:val="00CD73F8"/>
    <w:rsid w:val="00CD7681"/>
    <w:rsid w:val="00CE2570"/>
    <w:rsid w:val="00D01E3A"/>
    <w:rsid w:val="00D051D4"/>
    <w:rsid w:val="00D077A0"/>
    <w:rsid w:val="00D10A0D"/>
    <w:rsid w:val="00D16950"/>
    <w:rsid w:val="00D16D2E"/>
    <w:rsid w:val="00D24CAE"/>
    <w:rsid w:val="00D32A65"/>
    <w:rsid w:val="00D35107"/>
    <w:rsid w:val="00D35E0C"/>
    <w:rsid w:val="00D37624"/>
    <w:rsid w:val="00D4763F"/>
    <w:rsid w:val="00D51D61"/>
    <w:rsid w:val="00D57D5A"/>
    <w:rsid w:val="00D6446E"/>
    <w:rsid w:val="00D7187C"/>
    <w:rsid w:val="00D72E48"/>
    <w:rsid w:val="00D73173"/>
    <w:rsid w:val="00D7333B"/>
    <w:rsid w:val="00D737E8"/>
    <w:rsid w:val="00D75550"/>
    <w:rsid w:val="00D800DB"/>
    <w:rsid w:val="00D80101"/>
    <w:rsid w:val="00D901F2"/>
    <w:rsid w:val="00D95766"/>
    <w:rsid w:val="00D95950"/>
    <w:rsid w:val="00DB2E76"/>
    <w:rsid w:val="00DB5ABA"/>
    <w:rsid w:val="00DC39B5"/>
    <w:rsid w:val="00DC64D2"/>
    <w:rsid w:val="00DC6D15"/>
    <w:rsid w:val="00DC6D48"/>
    <w:rsid w:val="00DE4E74"/>
    <w:rsid w:val="00DF202E"/>
    <w:rsid w:val="00DF2CE6"/>
    <w:rsid w:val="00DF4668"/>
    <w:rsid w:val="00E00F49"/>
    <w:rsid w:val="00E0403E"/>
    <w:rsid w:val="00E16721"/>
    <w:rsid w:val="00E2695C"/>
    <w:rsid w:val="00E27B2E"/>
    <w:rsid w:val="00E30F2A"/>
    <w:rsid w:val="00E311CA"/>
    <w:rsid w:val="00E449E0"/>
    <w:rsid w:val="00E45CCF"/>
    <w:rsid w:val="00E473DF"/>
    <w:rsid w:val="00E52653"/>
    <w:rsid w:val="00E52D98"/>
    <w:rsid w:val="00E5611A"/>
    <w:rsid w:val="00E56593"/>
    <w:rsid w:val="00E57937"/>
    <w:rsid w:val="00E6193F"/>
    <w:rsid w:val="00E6244A"/>
    <w:rsid w:val="00E62BD4"/>
    <w:rsid w:val="00E634B6"/>
    <w:rsid w:val="00E77993"/>
    <w:rsid w:val="00E8042D"/>
    <w:rsid w:val="00E84E9E"/>
    <w:rsid w:val="00E956E7"/>
    <w:rsid w:val="00E96C8F"/>
    <w:rsid w:val="00EA0DAC"/>
    <w:rsid w:val="00EB4526"/>
    <w:rsid w:val="00EB6A51"/>
    <w:rsid w:val="00EC0B05"/>
    <w:rsid w:val="00ED0EFA"/>
    <w:rsid w:val="00ED6EBD"/>
    <w:rsid w:val="00EE0499"/>
    <w:rsid w:val="00EE3266"/>
    <w:rsid w:val="00EE55E0"/>
    <w:rsid w:val="00EF0713"/>
    <w:rsid w:val="00EF6866"/>
    <w:rsid w:val="00F04724"/>
    <w:rsid w:val="00F05CFD"/>
    <w:rsid w:val="00F11DB9"/>
    <w:rsid w:val="00F166CB"/>
    <w:rsid w:val="00F1758D"/>
    <w:rsid w:val="00F218C3"/>
    <w:rsid w:val="00F21FC5"/>
    <w:rsid w:val="00F25652"/>
    <w:rsid w:val="00F26A4B"/>
    <w:rsid w:val="00F303AE"/>
    <w:rsid w:val="00F31E76"/>
    <w:rsid w:val="00F42386"/>
    <w:rsid w:val="00F44ADB"/>
    <w:rsid w:val="00F45566"/>
    <w:rsid w:val="00F45BEE"/>
    <w:rsid w:val="00F50EC2"/>
    <w:rsid w:val="00F528DA"/>
    <w:rsid w:val="00F532A3"/>
    <w:rsid w:val="00F53860"/>
    <w:rsid w:val="00F54397"/>
    <w:rsid w:val="00F55BC0"/>
    <w:rsid w:val="00F576E2"/>
    <w:rsid w:val="00F61526"/>
    <w:rsid w:val="00F65ACD"/>
    <w:rsid w:val="00F70228"/>
    <w:rsid w:val="00F722FA"/>
    <w:rsid w:val="00F74B39"/>
    <w:rsid w:val="00F80739"/>
    <w:rsid w:val="00F84E6E"/>
    <w:rsid w:val="00F87AC4"/>
    <w:rsid w:val="00FA43FC"/>
    <w:rsid w:val="00FA4769"/>
    <w:rsid w:val="00FB47EF"/>
    <w:rsid w:val="00FB7EB7"/>
    <w:rsid w:val="00FC43B6"/>
    <w:rsid w:val="00FC5540"/>
    <w:rsid w:val="00FC7D62"/>
    <w:rsid w:val="00FD03E3"/>
    <w:rsid w:val="00FD3EAD"/>
    <w:rsid w:val="00FE02DA"/>
    <w:rsid w:val="00FE0CED"/>
    <w:rsid w:val="00FE14F3"/>
    <w:rsid w:val="00FE20DD"/>
    <w:rsid w:val="00FF781D"/>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96B1F"/>
  <w15:docId w15:val="{9490A928-22E4-49B0-A529-F835ECF6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1C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77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20D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qFormat/>
    <w:rsid w:val="00E57937"/>
    <w:pPr>
      <w:widowControl w:val="0"/>
      <w:autoSpaceDE w:val="0"/>
      <w:autoSpaceDN w:val="0"/>
      <w:adjustRightInd w:val="0"/>
      <w:spacing w:before="76"/>
      <w:ind w:left="152"/>
      <w:outlineLvl w:val="3"/>
    </w:pPr>
    <w:rPr>
      <w:rFonts w:ascii="Times New Roman" w:eastAsiaTheme="minorEastAsia" w:hAnsi="Times New Roman" w:cs="Times New Roman"/>
      <w:b/>
      <w:bCs/>
      <w:sz w:val="44"/>
      <w:szCs w:val="44"/>
    </w:rPr>
  </w:style>
  <w:style w:type="paragraph" w:styleId="Heading5">
    <w:name w:val="heading 5"/>
    <w:basedOn w:val="Normal"/>
    <w:next w:val="Normal"/>
    <w:link w:val="Heading5Char"/>
    <w:uiPriority w:val="9"/>
    <w:unhideWhenUsed/>
    <w:qFormat/>
    <w:rsid w:val="0093778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570"/>
    <w:pPr>
      <w:tabs>
        <w:tab w:val="center" w:pos="4680"/>
        <w:tab w:val="right" w:pos="9360"/>
      </w:tabs>
    </w:pPr>
  </w:style>
  <w:style w:type="character" w:customStyle="1" w:styleId="HeaderChar">
    <w:name w:val="Header Char"/>
    <w:basedOn w:val="DefaultParagraphFont"/>
    <w:link w:val="Header"/>
    <w:uiPriority w:val="99"/>
    <w:rsid w:val="00CE2570"/>
  </w:style>
  <w:style w:type="paragraph" w:styleId="Footer">
    <w:name w:val="footer"/>
    <w:basedOn w:val="Normal"/>
    <w:link w:val="FooterChar"/>
    <w:uiPriority w:val="99"/>
    <w:unhideWhenUsed/>
    <w:rsid w:val="00CE2570"/>
    <w:pPr>
      <w:tabs>
        <w:tab w:val="center" w:pos="4680"/>
        <w:tab w:val="right" w:pos="9360"/>
      </w:tabs>
    </w:pPr>
  </w:style>
  <w:style w:type="character" w:customStyle="1" w:styleId="FooterChar">
    <w:name w:val="Footer Char"/>
    <w:basedOn w:val="DefaultParagraphFont"/>
    <w:link w:val="Footer"/>
    <w:uiPriority w:val="99"/>
    <w:rsid w:val="00CE2570"/>
  </w:style>
  <w:style w:type="table" w:styleId="TableGrid">
    <w:name w:val="Table Grid"/>
    <w:basedOn w:val="TableNormal"/>
    <w:uiPriority w:val="39"/>
    <w:rsid w:val="00BC0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3217"/>
    <w:pPr>
      <w:ind w:left="720"/>
      <w:contextualSpacing/>
    </w:pPr>
  </w:style>
  <w:style w:type="character" w:styleId="CommentReference">
    <w:name w:val="annotation reference"/>
    <w:basedOn w:val="DefaultParagraphFont"/>
    <w:uiPriority w:val="99"/>
    <w:semiHidden/>
    <w:unhideWhenUsed/>
    <w:rsid w:val="00DC64D2"/>
    <w:rPr>
      <w:sz w:val="16"/>
      <w:szCs w:val="16"/>
    </w:rPr>
  </w:style>
  <w:style w:type="paragraph" w:styleId="CommentText">
    <w:name w:val="annotation text"/>
    <w:basedOn w:val="Normal"/>
    <w:link w:val="CommentTextChar"/>
    <w:uiPriority w:val="99"/>
    <w:semiHidden/>
    <w:unhideWhenUsed/>
    <w:rsid w:val="00DC64D2"/>
    <w:rPr>
      <w:sz w:val="20"/>
      <w:szCs w:val="20"/>
    </w:rPr>
  </w:style>
  <w:style w:type="character" w:customStyle="1" w:styleId="CommentTextChar">
    <w:name w:val="Comment Text Char"/>
    <w:basedOn w:val="DefaultParagraphFont"/>
    <w:link w:val="CommentText"/>
    <w:uiPriority w:val="99"/>
    <w:semiHidden/>
    <w:rsid w:val="00DC64D2"/>
    <w:rPr>
      <w:sz w:val="20"/>
      <w:szCs w:val="20"/>
    </w:rPr>
  </w:style>
  <w:style w:type="paragraph" w:styleId="CommentSubject">
    <w:name w:val="annotation subject"/>
    <w:basedOn w:val="CommentText"/>
    <w:next w:val="CommentText"/>
    <w:link w:val="CommentSubjectChar"/>
    <w:uiPriority w:val="99"/>
    <w:semiHidden/>
    <w:unhideWhenUsed/>
    <w:rsid w:val="00DC64D2"/>
    <w:rPr>
      <w:b/>
      <w:bCs/>
    </w:rPr>
  </w:style>
  <w:style w:type="character" w:customStyle="1" w:styleId="CommentSubjectChar">
    <w:name w:val="Comment Subject Char"/>
    <w:basedOn w:val="CommentTextChar"/>
    <w:link w:val="CommentSubject"/>
    <w:uiPriority w:val="99"/>
    <w:semiHidden/>
    <w:rsid w:val="00DC64D2"/>
    <w:rPr>
      <w:b/>
      <w:bCs/>
      <w:sz w:val="20"/>
      <w:szCs w:val="20"/>
    </w:rPr>
  </w:style>
  <w:style w:type="paragraph" w:styleId="BalloonText">
    <w:name w:val="Balloon Text"/>
    <w:basedOn w:val="Normal"/>
    <w:link w:val="BalloonTextChar"/>
    <w:uiPriority w:val="99"/>
    <w:semiHidden/>
    <w:unhideWhenUsed/>
    <w:rsid w:val="00DC6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4D2"/>
    <w:rPr>
      <w:rFonts w:ascii="Segoe UI" w:hAnsi="Segoe UI" w:cs="Segoe UI"/>
      <w:sz w:val="18"/>
      <w:szCs w:val="18"/>
    </w:rPr>
  </w:style>
  <w:style w:type="paragraph" w:styleId="BodyText">
    <w:name w:val="Body Text"/>
    <w:basedOn w:val="Normal"/>
    <w:link w:val="BodyTextChar"/>
    <w:uiPriority w:val="1"/>
    <w:qFormat/>
    <w:rsid w:val="00F04724"/>
    <w:pPr>
      <w:widowControl w:val="0"/>
      <w:autoSpaceDE w:val="0"/>
      <w:autoSpaceDN w:val="0"/>
      <w:adjustRightInd w:val="0"/>
    </w:pPr>
    <w:rPr>
      <w:rFonts w:ascii="Arial" w:eastAsiaTheme="minorEastAsia" w:hAnsi="Arial" w:cs="Arial"/>
      <w:sz w:val="21"/>
      <w:szCs w:val="21"/>
    </w:rPr>
  </w:style>
  <w:style w:type="character" w:customStyle="1" w:styleId="BodyTextChar">
    <w:name w:val="Body Text Char"/>
    <w:basedOn w:val="DefaultParagraphFont"/>
    <w:link w:val="BodyText"/>
    <w:uiPriority w:val="99"/>
    <w:rsid w:val="00F04724"/>
    <w:rPr>
      <w:rFonts w:ascii="Arial" w:eastAsiaTheme="minorEastAsia" w:hAnsi="Arial" w:cs="Arial"/>
      <w:sz w:val="21"/>
      <w:szCs w:val="21"/>
    </w:rPr>
  </w:style>
  <w:style w:type="character" w:customStyle="1" w:styleId="Heading4Char">
    <w:name w:val="Heading 4 Char"/>
    <w:basedOn w:val="DefaultParagraphFont"/>
    <w:link w:val="Heading4"/>
    <w:uiPriority w:val="1"/>
    <w:rsid w:val="00E57937"/>
    <w:rPr>
      <w:rFonts w:ascii="Times New Roman" w:eastAsiaTheme="minorEastAsia" w:hAnsi="Times New Roman" w:cs="Times New Roman"/>
      <w:b/>
      <w:bCs/>
      <w:sz w:val="44"/>
      <w:szCs w:val="44"/>
    </w:rPr>
  </w:style>
  <w:style w:type="character" w:customStyle="1" w:styleId="Heading1Char">
    <w:name w:val="Heading 1 Char"/>
    <w:basedOn w:val="DefaultParagraphFont"/>
    <w:link w:val="Heading1"/>
    <w:uiPriority w:val="9"/>
    <w:rsid w:val="00061C3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FE20DD"/>
    <w:pPr>
      <w:spacing w:before="100" w:beforeAutospacing="1" w:after="100" w:afterAutospacing="1"/>
    </w:pPr>
    <w:rPr>
      <w:rFonts w:ascii="Verdana" w:eastAsia="Times New Roman" w:hAnsi="Verdana" w:cs="Times New Roman"/>
      <w:sz w:val="20"/>
      <w:szCs w:val="20"/>
    </w:rPr>
  </w:style>
  <w:style w:type="character" w:customStyle="1" w:styleId="Heading3Char">
    <w:name w:val="Heading 3 Char"/>
    <w:basedOn w:val="DefaultParagraphFont"/>
    <w:link w:val="Heading3"/>
    <w:uiPriority w:val="9"/>
    <w:rsid w:val="00FE20DD"/>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DB2E76"/>
    <w:pPr>
      <w:widowControl w:val="0"/>
    </w:pPr>
  </w:style>
  <w:style w:type="character" w:styleId="Hyperlink">
    <w:name w:val="Hyperlink"/>
    <w:basedOn w:val="DefaultParagraphFont"/>
    <w:uiPriority w:val="99"/>
    <w:unhideWhenUsed/>
    <w:rsid w:val="008A0C98"/>
    <w:rPr>
      <w:color w:val="0563C1" w:themeColor="hyperlink"/>
      <w:u w:val="single"/>
    </w:rPr>
  </w:style>
  <w:style w:type="character" w:styleId="FollowedHyperlink">
    <w:name w:val="FollowedHyperlink"/>
    <w:basedOn w:val="DefaultParagraphFont"/>
    <w:uiPriority w:val="99"/>
    <w:semiHidden/>
    <w:unhideWhenUsed/>
    <w:rsid w:val="008A0C98"/>
    <w:rPr>
      <w:color w:val="954F72" w:themeColor="followedHyperlink"/>
      <w:u w:val="single"/>
    </w:rPr>
  </w:style>
  <w:style w:type="paragraph" w:styleId="NoSpacing">
    <w:name w:val="No Spacing"/>
    <w:uiPriority w:val="1"/>
    <w:qFormat/>
    <w:rsid w:val="0093778F"/>
  </w:style>
  <w:style w:type="character" w:customStyle="1" w:styleId="Heading2Char">
    <w:name w:val="Heading 2 Char"/>
    <w:basedOn w:val="DefaultParagraphFont"/>
    <w:link w:val="Heading2"/>
    <w:uiPriority w:val="9"/>
    <w:rsid w:val="0093778F"/>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93778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BD730B"/>
    <w:rPr>
      <w:b/>
      <w:bCs/>
    </w:rPr>
  </w:style>
  <w:style w:type="paragraph" w:styleId="FootnoteText">
    <w:name w:val="footnote text"/>
    <w:basedOn w:val="Normal"/>
    <w:link w:val="FootnoteTextChar"/>
    <w:uiPriority w:val="99"/>
    <w:semiHidden/>
    <w:unhideWhenUsed/>
    <w:rsid w:val="00353CE2"/>
    <w:rPr>
      <w:sz w:val="20"/>
      <w:szCs w:val="20"/>
    </w:rPr>
  </w:style>
  <w:style w:type="character" w:customStyle="1" w:styleId="FootnoteTextChar">
    <w:name w:val="Footnote Text Char"/>
    <w:basedOn w:val="DefaultParagraphFont"/>
    <w:link w:val="FootnoteText"/>
    <w:uiPriority w:val="99"/>
    <w:semiHidden/>
    <w:rsid w:val="00353CE2"/>
    <w:rPr>
      <w:sz w:val="20"/>
      <w:szCs w:val="20"/>
    </w:rPr>
  </w:style>
  <w:style w:type="character" w:styleId="FootnoteReference">
    <w:name w:val="footnote reference"/>
    <w:basedOn w:val="DefaultParagraphFont"/>
    <w:uiPriority w:val="99"/>
    <w:semiHidden/>
    <w:unhideWhenUsed/>
    <w:rsid w:val="00353CE2"/>
    <w:rPr>
      <w:vertAlign w:val="superscript"/>
    </w:rPr>
  </w:style>
  <w:style w:type="character" w:customStyle="1" w:styleId="UnresolvedMention">
    <w:name w:val="Unresolved Mention"/>
    <w:basedOn w:val="DefaultParagraphFont"/>
    <w:uiPriority w:val="99"/>
    <w:semiHidden/>
    <w:unhideWhenUsed/>
    <w:rsid w:val="002D1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77295">
      <w:bodyDiv w:val="1"/>
      <w:marLeft w:val="0"/>
      <w:marRight w:val="0"/>
      <w:marTop w:val="0"/>
      <w:marBottom w:val="0"/>
      <w:divBdr>
        <w:top w:val="none" w:sz="0" w:space="0" w:color="auto"/>
        <w:left w:val="none" w:sz="0" w:space="0" w:color="auto"/>
        <w:bottom w:val="none" w:sz="0" w:space="0" w:color="auto"/>
        <w:right w:val="none" w:sz="0" w:space="0" w:color="auto"/>
      </w:divBdr>
    </w:div>
    <w:div w:id="565187087">
      <w:bodyDiv w:val="1"/>
      <w:marLeft w:val="0"/>
      <w:marRight w:val="0"/>
      <w:marTop w:val="0"/>
      <w:marBottom w:val="0"/>
      <w:divBdr>
        <w:top w:val="none" w:sz="0" w:space="0" w:color="auto"/>
        <w:left w:val="none" w:sz="0" w:space="0" w:color="auto"/>
        <w:bottom w:val="none" w:sz="0" w:space="0" w:color="auto"/>
        <w:right w:val="none" w:sz="0" w:space="0" w:color="auto"/>
      </w:divBdr>
    </w:div>
    <w:div w:id="733937670">
      <w:bodyDiv w:val="1"/>
      <w:marLeft w:val="0"/>
      <w:marRight w:val="0"/>
      <w:marTop w:val="0"/>
      <w:marBottom w:val="0"/>
      <w:divBdr>
        <w:top w:val="none" w:sz="0" w:space="0" w:color="auto"/>
        <w:left w:val="none" w:sz="0" w:space="0" w:color="auto"/>
        <w:bottom w:val="none" w:sz="0" w:space="0" w:color="auto"/>
        <w:right w:val="none" w:sz="0" w:space="0" w:color="auto"/>
      </w:divBdr>
    </w:div>
    <w:div w:id="1024672669">
      <w:bodyDiv w:val="1"/>
      <w:marLeft w:val="0"/>
      <w:marRight w:val="0"/>
      <w:marTop w:val="0"/>
      <w:marBottom w:val="0"/>
      <w:divBdr>
        <w:top w:val="none" w:sz="0" w:space="0" w:color="auto"/>
        <w:left w:val="none" w:sz="0" w:space="0" w:color="auto"/>
        <w:bottom w:val="none" w:sz="0" w:space="0" w:color="auto"/>
        <w:right w:val="none" w:sz="0" w:space="0" w:color="auto"/>
      </w:divBdr>
    </w:div>
    <w:div w:id="1242567585">
      <w:bodyDiv w:val="1"/>
      <w:marLeft w:val="0"/>
      <w:marRight w:val="0"/>
      <w:marTop w:val="0"/>
      <w:marBottom w:val="0"/>
      <w:divBdr>
        <w:top w:val="none" w:sz="0" w:space="0" w:color="auto"/>
        <w:left w:val="none" w:sz="0" w:space="0" w:color="auto"/>
        <w:bottom w:val="none" w:sz="0" w:space="0" w:color="auto"/>
        <w:right w:val="none" w:sz="0" w:space="0" w:color="auto"/>
      </w:divBdr>
    </w:div>
    <w:div w:id="1293055283">
      <w:bodyDiv w:val="1"/>
      <w:marLeft w:val="0"/>
      <w:marRight w:val="0"/>
      <w:marTop w:val="0"/>
      <w:marBottom w:val="0"/>
      <w:divBdr>
        <w:top w:val="none" w:sz="0" w:space="0" w:color="auto"/>
        <w:left w:val="none" w:sz="0" w:space="0" w:color="auto"/>
        <w:bottom w:val="none" w:sz="0" w:space="0" w:color="auto"/>
        <w:right w:val="none" w:sz="0" w:space="0" w:color="auto"/>
      </w:divBdr>
    </w:div>
    <w:div w:id="1393164508">
      <w:bodyDiv w:val="1"/>
      <w:marLeft w:val="0"/>
      <w:marRight w:val="0"/>
      <w:marTop w:val="0"/>
      <w:marBottom w:val="0"/>
      <w:divBdr>
        <w:top w:val="none" w:sz="0" w:space="0" w:color="auto"/>
        <w:left w:val="none" w:sz="0" w:space="0" w:color="auto"/>
        <w:bottom w:val="none" w:sz="0" w:space="0" w:color="auto"/>
        <w:right w:val="none" w:sz="0" w:space="0" w:color="auto"/>
      </w:divBdr>
    </w:div>
    <w:div w:id="1820074602">
      <w:bodyDiv w:val="1"/>
      <w:marLeft w:val="0"/>
      <w:marRight w:val="0"/>
      <w:marTop w:val="0"/>
      <w:marBottom w:val="0"/>
      <w:divBdr>
        <w:top w:val="none" w:sz="0" w:space="0" w:color="auto"/>
        <w:left w:val="none" w:sz="0" w:space="0" w:color="auto"/>
        <w:bottom w:val="none" w:sz="0" w:space="0" w:color="auto"/>
        <w:right w:val="none" w:sz="0" w:space="0" w:color="auto"/>
      </w:divBdr>
    </w:div>
    <w:div w:id="1867214649">
      <w:bodyDiv w:val="1"/>
      <w:marLeft w:val="0"/>
      <w:marRight w:val="0"/>
      <w:marTop w:val="0"/>
      <w:marBottom w:val="0"/>
      <w:divBdr>
        <w:top w:val="none" w:sz="0" w:space="0" w:color="auto"/>
        <w:left w:val="none" w:sz="0" w:space="0" w:color="auto"/>
        <w:bottom w:val="none" w:sz="0" w:space="0" w:color="auto"/>
        <w:right w:val="none" w:sz="0" w:space="0" w:color="auto"/>
      </w:divBdr>
    </w:div>
    <w:div w:id="1910112745">
      <w:bodyDiv w:val="1"/>
      <w:marLeft w:val="0"/>
      <w:marRight w:val="0"/>
      <w:marTop w:val="0"/>
      <w:marBottom w:val="0"/>
      <w:divBdr>
        <w:top w:val="none" w:sz="0" w:space="0" w:color="auto"/>
        <w:left w:val="none" w:sz="0" w:space="0" w:color="auto"/>
        <w:bottom w:val="none" w:sz="0" w:space="0" w:color="auto"/>
        <w:right w:val="none" w:sz="0" w:space="0" w:color="auto"/>
      </w:divBdr>
    </w:div>
    <w:div w:id="1917327196">
      <w:bodyDiv w:val="1"/>
      <w:marLeft w:val="0"/>
      <w:marRight w:val="0"/>
      <w:marTop w:val="0"/>
      <w:marBottom w:val="0"/>
      <w:divBdr>
        <w:top w:val="none" w:sz="0" w:space="0" w:color="auto"/>
        <w:left w:val="none" w:sz="0" w:space="0" w:color="auto"/>
        <w:bottom w:val="none" w:sz="0" w:space="0" w:color="auto"/>
        <w:right w:val="none" w:sz="0" w:space="0" w:color="auto"/>
      </w:divBdr>
    </w:div>
    <w:div w:id="211301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xosbank.com/lending/third-party-lending/forms"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federalreserve.gov/apps/reportforms/default.aspx" TargetMode="Externa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xosbank.com/home-loans/third-party-lending/forms"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correspondent.axosbank.com/" TargetMode="Externa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yperlink" Target="https://www.oanda.com/currency/converter/"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oanservicing@axosbank.com" TargetMode="External"/><Relationship Id="rId22" Type="http://schemas.openxmlformats.org/officeDocument/2006/relationships/image" Target="media/image8.png"/><Relationship Id="rId27" Type="http://schemas.openxmlformats.org/officeDocument/2006/relationships/hyperlink" Target="mailto:lockdesk@axosban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D6B8-6E09-4898-905B-CE3B49BA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15751</Words>
  <Characters>89784</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Printer</dc:creator>
  <cp:lastModifiedBy>Carl Printer</cp:lastModifiedBy>
  <cp:revision>5</cp:revision>
  <dcterms:created xsi:type="dcterms:W3CDTF">2019-10-28T17:44:00Z</dcterms:created>
  <dcterms:modified xsi:type="dcterms:W3CDTF">2019-10-28T17:49:00Z</dcterms:modified>
</cp:coreProperties>
</file>